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D255" w14:textId="77777777" w:rsidR="00A0143E" w:rsidRDefault="00B7076D" w:rsidP="00A0143E">
      <w:pPr>
        <w:rPr>
          <w:rFonts w:ascii="WindleshamPro" w:hAnsi="WindleshamPro"/>
          <w:color w:val="385623"/>
          <w:sz w:val="32"/>
          <w:szCs w:val="32"/>
        </w:rPr>
      </w:pPr>
      <w:r w:rsidRPr="00B7076D">
        <w:rPr>
          <w:rFonts w:ascii="GTWalsheimProBold" w:hAnsi="GTWalsheimProBold"/>
          <w:color w:val="385623"/>
          <w:sz w:val="32"/>
          <w:szCs w:val="32"/>
        </w:rPr>
        <w:t xml:space="preserve">Øvelse 8: </w:t>
      </w:r>
      <w:r w:rsidRPr="00B7076D">
        <w:rPr>
          <w:rFonts w:ascii="GTWalsheimProBold" w:hAnsi="GTWalsheimProBold"/>
          <w:b/>
          <w:bCs/>
          <w:color w:val="385623"/>
          <w:sz w:val="32"/>
          <w:szCs w:val="32"/>
        </w:rPr>
        <w:t>Hvordan forbereder vi os til vagten?</w:t>
      </w:r>
      <w:r>
        <w:rPr>
          <w:rFonts w:ascii="GTWalsheimProBold" w:hAnsi="GTWalsheimProBold"/>
          <w:b/>
          <w:bCs/>
          <w:color w:val="385623"/>
          <w:sz w:val="32"/>
          <w:szCs w:val="32"/>
        </w:rPr>
        <w:br/>
      </w:r>
      <w:r w:rsidRPr="00B7076D">
        <w:rPr>
          <w:rFonts w:ascii="WindleshamPro" w:hAnsi="WindleshamPro"/>
          <w:color w:val="385623"/>
          <w:sz w:val="32"/>
          <w:szCs w:val="32"/>
        </w:rPr>
        <w:t>Drejebog til facilitator</w:t>
      </w:r>
      <w:r w:rsidR="00BB3548">
        <w:rPr>
          <w:rFonts w:ascii="WindleshamPro" w:hAnsi="WindleshamPro"/>
          <w:color w:val="385623"/>
          <w:sz w:val="32"/>
          <w:szCs w:val="32"/>
        </w:rPr>
        <w:t>.</w:t>
      </w:r>
    </w:p>
    <w:p w14:paraId="6557C922" w14:textId="0AF3C96B" w:rsidR="00B7076D" w:rsidRPr="00A0143E" w:rsidRDefault="00A0143E" w:rsidP="00A0143E">
      <w:pPr>
        <w:rPr>
          <w:rFonts w:ascii="WindleshamPro" w:hAnsi="WindleshamPro"/>
          <w:color w:val="385623"/>
          <w:sz w:val="32"/>
          <w:szCs w:val="32"/>
        </w:rPr>
      </w:pPr>
      <w:r>
        <w:rPr>
          <w:color w:val="385623" w:themeColor="accent6" w:themeShade="80"/>
        </w:rPr>
        <w:br/>
        <w:t>F</w:t>
      </w:r>
      <w:r w:rsidRPr="00A0143E">
        <w:rPr>
          <w:color w:val="385623" w:themeColor="accent6" w:themeShade="80"/>
        </w:rPr>
        <w:t>ormål med øvelsen: Øvelsen gør rådgiverne bevidste om, hvad de selv gør for at forberede sig til vagten, og de inspirerer hinanden til nye måder at forberede sig mentalt til at være på vagt.</w:t>
      </w:r>
    </w:p>
    <w:tbl>
      <w:tblPr>
        <w:tblStyle w:val="Tabel-Gitter"/>
        <w:tblW w:w="0" w:type="auto"/>
        <w:tblLook w:val="04A0" w:firstRow="1" w:lastRow="0" w:firstColumn="1" w:lastColumn="0" w:noHBand="0" w:noVBand="1"/>
      </w:tblPr>
      <w:tblGrid>
        <w:gridCol w:w="988"/>
        <w:gridCol w:w="992"/>
        <w:gridCol w:w="8089"/>
        <w:gridCol w:w="3357"/>
      </w:tblGrid>
      <w:tr w:rsidR="00B7076D" w:rsidRPr="00546856" w14:paraId="30435A62" w14:textId="77777777" w:rsidTr="007A4626">
        <w:tc>
          <w:tcPr>
            <w:tcW w:w="988" w:type="dxa"/>
            <w:shd w:val="clear" w:color="auto" w:fill="385623" w:themeFill="accent6" w:themeFillShade="80"/>
          </w:tcPr>
          <w:p w14:paraId="654377DF" w14:textId="18B6A96A" w:rsidR="00B7076D" w:rsidRPr="00546856" w:rsidRDefault="00B7076D" w:rsidP="007A4626">
            <w:pPr>
              <w:rPr>
                <w:b/>
                <w:bCs/>
                <w:color w:val="FFFFFF" w:themeColor="background1"/>
              </w:rPr>
            </w:pPr>
            <w:r w:rsidRPr="00546856">
              <w:rPr>
                <w:b/>
                <w:bCs/>
                <w:color w:val="FFFFFF" w:themeColor="background1"/>
              </w:rPr>
              <w:t>Klokken</w:t>
            </w:r>
          </w:p>
        </w:tc>
        <w:tc>
          <w:tcPr>
            <w:tcW w:w="992" w:type="dxa"/>
            <w:shd w:val="clear" w:color="auto" w:fill="385623" w:themeFill="accent6" w:themeFillShade="80"/>
          </w:tcPr>
          <w:p w14:paraId="685A9162" w14:textId="77777777" w:rsidR="00B7076D" w:rsidRPr="00546856" w:rsidRDefault="00B7076D" w:rsidP="007A4626">
            <w:pPr>
              <w:rPr>
                <w:b/>
                <w:bCs/>
                <w:color w:val="FFFFFF" w:themeColor="background1"/>
              </w:rPr>
            </w:pPr>
            <w:r w:rsidRPr="00546856">
              <w:rPr>
                <w:b/>
                <w:bCs/>
                <w:color w:val="FFFFFF" w:themeColor="background1"/>
              </w:rPr>
              <w:t>Tid</w:t>
            </w:r>
          </w:p>
        </w:tc>
        <w:tc>
          <w:tcPr>
            <w:tcW w:w="8089" w:type="dxa"/>
            <w:shd w:val="clear" w:color="auto" w:fill="385623" w:themeFill="accent6" w:themeFillShade="80"/>
          </w:tcPr>
          <w:p w14:paraId="7588419A" w14:textId="77777777" w:rsidR="00B7076D" w:rsidRPr="00546856" w:rsidRDefault="00B7076D" w:rsidP="007A4626">
            <w:pPr>
              <w:rPr>
                <w:b/>
                <w:bCs/>
                <w:color w:val="FFFFFF" w:themeColor="background1"/>
              </w:rPr>
            </w:pPr>
            <w:r w:rsidRPr="00546856">
              <w:rPr>
                <w:b/>
                <w:bCs/>
                <w:color w:val="FFFFFF" w:themeColor="background1"/>
              </w:rPr>
              <w:t>Indhold</w:t>
            </w:r>
          </w:p>
        </w:tc>
        <w:tc>
          <w:tcPr>
            <w:tcW w:w="3357" w:type="dxa"/>
            <w:shd w:val="clear" w:color="auto" w:fill="385623" w:themeFill="accent6" w:themeFillShade="80"/>
          </w:tcPr>
          <w:p w14:paraId="0749AB75" w14:textId="77777777" w:rsidR="00B7076D" w:rsidRPr="00546856" w:rsidRDefault="00B7076D" w:rsidP="007A4626">
            <w:pPr>
              <w:rPr>
                <w:b/>
                <w:bCs/>
                <w:color w:val="FFFFFF" w:themeColor="background1"/>
              </w:rPr>
            </w:pPr>
            <w:r w:rsidRPr="00546856">
              <w:rPr>
                <w:b/>
                <w:bCs/>
                <w:color w:val="FFFFFF" w:themeColor="background1"/>
              </w:rPr>
              <w:t>Forberedelse</w:t>
            </w:r>
          </w:p>
        </w:tc>
      </w:tr>
      <w:tr w:rsidR="00B7076D" w14:paraId="0F27C9FC" w14:textId="77777777" w:rsidTr="007A4626">
        <w:tc>
          <w:tcPr>
            <w:tcW w:w="988" w:type="dxa"/>
          </w:tcPr>
          <w:p w14:paraId="22EF21E4" w14:textId="77777777" w:rsidR="00B7076D" w:rsidRDefault="00B7076D" w:rsidP="007A4626">
            <w:pPr>
              <w:rPr>
                <w:color w:val="385623" w:themeColor="accent6" w:themeShade="80"/>
              </w:rPr>
            </w:pPr>
          </w:p>
        </w:tc>
        <w:tc>
          <w:tcPr>
            <w:tcW w:w="992" w:type="dxa"/>
          </w:tcPr>
          <w:p w14:paraId="4AF3FBD3" w14:textId="77777777" w:rsidR="00B7076D" w:rsidRDefault="00B7076D" w:rsidP="007A4626">
            <w:pPr>
              <w:rPr>
                <w:color w:val="385623" w:themeColor="accent6" w:themeShade="80"/>
              </w:rPr>
            </w:pPr>
            <w:r>
              <w:rPr>
                <w:color w:val="385623" w:themeColor="accent6" w:themeShade="80"/>
              </w:rPr>
              <w:t>15 min.</w:t>
            </w:r>
          </w:p>
        </w:tc>
        <w:tc>
          <w:tcPr>
            <w:tcW w:w="8089" w:type="dxa"/>
          </w:tcPr>
          <w:p w14:paraId="0D1098E2" w14:textId="77777777" w:rsidR="00B7076D" w:rsidRDefault="00B7076D" w:rsidP="007A4626">
            <w:pPr>
              <w:rPr>
                <w:b/>
                <w:bCs/>
              </w:rPr>
            </w:pPr>
            <w:r w:rsidRPr="001A2E6C">
              <w:rPr>
                <w:b/>
                <w:bCs/>
                <w:color w:val="385623" w:themeColor="accent6" w:themeShade="80"/>
              </w:rPr>
              <w:t>Introduktion til øvelsen:</w:t>
            </w:r>
            <w:r w:rsidRPr="001A2E6C">
              <w:rPr>
                <w:b/>
                <w:bCs/>
              </w:rPr>
              <w:t xml:space="preserve"> </w:t>
            </w:r>
          </w:p>
          <w:p w14:paraId="50C5D7AA" w14:textId="20CFB6DF" w:rsidR="00B7076D" w:rsidRDefault="00A86D55" w:rsidP="007A4626">
            <w:pPr>
              <w:rPr>
                <w:color w:val="385623" w:themeColor="accent6" w:themeShade="80"/>
              </w:rPr>
            </w:pPr>
            <w:r>
              <w:rPr>
                <w:color w:val="385623" w:themeColor="accent6" w:themeShade="80"/>
              </w:rPr>
              <w:t>Forklar formålet med øvelsen</w:t>
            </w:r>
            <w:r w:rsidR="00B5696B">
              <w:rPr>
                <w:color w:val="385623" w:themeColor="accent6" w:themeShade="80"/>
              </w:rPr>
              <w:t>, og i</w:t>
            </w:r>
            <w:r w:rsidR="00B7076D">
              <w:rPr>
                <w:color w:val="385623" w:themeColor="accent6" w:themeShade="80"/>
              </w:rPr>
              <w:t xml:space="preserve">ntroducér rådgiverne for </w:t>
            </w:r>
            <w:r w:rsidR="00B7076D" w:rsidRPr="002337FA">
              <w:rPr>
                <w:color w:val="385623" w:themeColor="accent6" w:themeShade="80"/>
              </w:rPr>
              <w:t>de tre typer belastning, som rådgivere kan opleve i deres praksis</w:t>
            </w:r>
            <w:r w:rsidR="00B5696B">
              <w:rPr>
                <w:color w:val="385623" w:themeColor="accent6" w:themeShade="80"/>
              </w:rPr>
              <w:t xml:space="preserve"> (s. 158-160)</w:t>
            </w:r>
            <w:r w:rsidR="00B7076D" w:rsidRPr="002337FA">
              <w:rPr>
                <w:color w:val="385623" w:themeColor="accent6" w:themeShade="80"/>
              </w:rPr>
              <w:t xml:space="preserve">. </w:t>
            </w:r>
          </w:p>
          <w:p w14:paraId="642EC7F5" w14:textId="77777777" w:rsidR="00B5696B" w:rsidRDefault="00B5696B" w:rsidP="007A4626">
            <w:pPr>
              <w:rPr>
                <w:color w:val="385623" w:themeColor="accent6" w:themeShade="80"/>
              </w:rPr>
            </w:pPr>
          </w:p>
          <w:p w14:paraId="07A020AE" w14:textId="543D07DC" w:rsidR="00B5696B" w:rsidRDefault="00946BCB" w:rsidP="007A4626">
            <w:pPr>
              <w:rPr>
                <w:color w:val="385623" w:themeColor="accent6" w:themeShade="80"/>
              </w:rPr>
            </w:pPr>
            <w:r>
              <w:rPr>
                <w:color w:val="385623" w:themeColor="accent6" w:themeShade="80"/>
              </w:rPr>
              <w:t>F</w:t>
            </w:r>
            <w:r w:rsidR="00B5696B">
              <w:rPr>
                <w:color w:val="385623" w:themeColor="accent6" w:themeShade="80"/>
              </w:rPr>
              <w:t xml:space="preserve">ortæl, at rådgiverne </w:t>
            </w:r>
            <w:r w:rsidR="00B5696B" w:rsidRPr="00DD3134">
              <w:rPr>
                <w:color w:val="385623" w:themeColor="accent6" w:themeShade="80"/>
              </w:rPr>
              <w:t>nu skal høre et lydklip med rådgivere fra Sexlinien som inspiration til deres efterfølgende s</w:t>
            </w:r>
            <w:r>
              <w:rPr>
                <w:color w:val="385623" w:themeColor="accent6" w:themeShade="80"/>
              </w:rPr>
              <w:t>amtaler to og to og i plenum.</w:t>
            </w:r>
          </w:p>
          <w:p w14:paraId="26316582" w14:textId="77777777" w:rsidR="00B7076D" w:rsidRDefault="00B7076D" w:rsidP="007A4626">
            <w:pPr>
              <w:pStyle w:val="Listeafsnit"/>
              <w:rPr>
                <w:color w:val="385623" w:themeColor="accent6" w:themeShade="80"/>
              </w:rPr>
            </w:pPr>
            <w:r>
              <w:rPr>
                <w:color w:val="385623" w:themeColor="accent6" w:themeShade="80"/>
              </w:rPr>
              <w:t xml:space="preserve">   </w:t>
            </w:r>
          </w:p>
        </w:tc>
        <w:tc>
          <w:tcPr>
            <w:tcW w:w="3357" w:type="dxa"/>
          </w:tcPr>
          <w:p w14:paraId="500FF49B" w14:textId="77777777" w:rsidR="00B7076D" w:rsidRDefault="00B7076D" w:rsidP="007A4626">
            <w:pPr>
              <w:rPr>
                <w:color w:val="385623" w:themeColor="accent6" w:themeShade="80"/>
              </w:rPr>
            </w:pPr>
            <w:r>
              <w:rPr>
                <w:color w:val="385623" w:themeColor="accent6" w:themeShade="80"/>
              </w:rPr>
              <w:t>Stil om muligt stolene op i en cirkel, så alle deltagere sidder med ansigtet vendt mod hinanden. Alternativt kan deltagerne stå op.</w:t>
            </w:r>
          </w:p>
        </w:tc>
      </w:tr>
      <w:tr w:rsidR="00B7076D" w14:paraId="4B98C639" w14:textId="77777777" w:rsidTr="007A4626">
        <w:tc>
          <w:tcPr>
            <w:tcW w:w="988" w:type="dxa"/>
          </w:tcPr>
          <w:p w14:paraId="047C7CB3" w14:textId="77777777" w:rsidR="00B7076D" w:rsidRDefault="00B7076D" w:rsidP="007A4626">
            <w:pPr>
              <w:rPr>
                <w:color w:val="385623" w:themeColor="accent6" w:themeShade="80"/>
              </w:rPr>
            </w:pPr>
          </w:p>
        </w:tc>
        <w:tc>
          <w:tcPr>
            <w:tcW w:w="992" w:type="dxa"/>
          </w:tcPr>
          <w:p w14:paraId="36C8A2B0" w14:textId="77777777" w:rsidR="00B7076D" w:rsidRPr="002337FA" w:rsidRDefault="00B7076D" w:rsidP="007A4626">
            <w:r>
              <w:rPr>
                <w:color w:val="385623" w:themeColor="accent6" w:themeShade="80"/>
              </w:rPr>
              <w:t>10</w:t>
            </w:r>
            <w:r w:rsidRPr="002337FA">
              <w:rPr>
                <w:color w:val="385623" w:themeColor="accent6" w:themeShade="80"/>
              </w:rPr>
              <w:t xml:space="preserve"> min.</w:t>
            </w:r>
          </w:p>
        </w:tc>
        <w:tc>
          <w:tcPr>
            <w:tcW w:w="8089" w:type="dxa"/>
          </w:tcPr>
          <w:p w14:paraId="4A16149A" w14:textId="77777777" w:rsidR="00B7076D" w:rsidRPr="006A5D87" w:rsidRDefault="00B7076D" w:rsidP="007A4626">
            <w:pPr>
              <w:rPr>
                <w:b/>
                <w:bCs/>
                <w:color w:val="385623" w:themeColor="accent6" w:themeShade="80"/>
              </w:rPr>
            </w:pPr>
            <w:r w:rsidRPr="006A5D87">
              <w:rPr>
                <w:b/>
                <w:bCs/>
                <w:color w:val="385623" w:themeColor="accent6" w:themeShade="80"/>
              </w:rPr>
              <w:t>Lytteøvelse:</w:t>
            </w:r>
          </w:p>
          <w:p w14:paraId="4C21298B" w14:textId="77777777" w:rsidR="00B7076D" w:rsidRDefault="00B7076D" w:rsidP="007A4626">
            <w:pPr>
              <w:rPr>
                <w:color w:val="385623" w:themeColor="accent6" w:themeShade="80"/>
              </w:rPr>
            </w:pPr>
            <w:r w:rsidRPr="00260D86">
              <w:rPr>
                <w:color w:val="385623" w:themeColor="accent6" w:themeShade="80"/>
              </w:rPr>
              <w:t xml:space="preserve">Afspil interviewet med rådgivere fra Sexlinien. </w:t>
            </w:r>
          </w:p>
          <w:p w14:paraId="349C82FC" w14:textId="77777777" w:rsidR="00946BCB" w:rsidRDefault="00946BCB" w:rsidP="007A4626">
            <w:pPr>
              <w:rPr>
                <w:color w:val="385623" w:themeColor="accent6" w:themeShade="80"/>
              </w:rPr>
            </w:pPr>
          </w:p>
          <w:p w14:paraId="5752B206" w14:textId="3C334D98" w:rsidR="00946BCB" w:rsidRPr="00260D86" w:rsidRDefault="00946BCB" w:rsidP="007A4626">
            <w:pPr>
              <w:rPr>
                <w:color w:val="385623" w:themeColor="accent6" w:themeShade="80"/>
              </w:rPr>
            </w:pPr>
            <w:r>
              <w:rPr>
                <w:color w:val="385623" w:themeColor="accent6" w:themeShade="80"/>
              </w:rPr>
              <w:t xml:space="preserve">Interviewet varer </w:t>
            </w:r>
            <w:r w:rsidR="0009122C">
              <w:rPr>
                <w:color w:val="385623" w:themeColor="accent6" w:themeShade="80"/>
              </w:rPr>
              <w:t>8:13 min.</w:t>
            </w:r>
          </w:p>
          <w:p w14:paraId="2F438BEB" w14:textId="77777777" w:rsidR="00B7076D" w:rsidRPr="000446D7" w:rsidRDefault="00B7076D" w:rsidP="007A4626">
            <w:pPr>
              <w:ind w:left="360"/>
              <w:rPr>
                <w:color w:val="385623" w:themeColor="accent6" w:themeShade="80"/>
              </w:rPr>
            </w:pPr>
          </w:p>
        </w:tc>
        <w:tc>
          <w:tcPr>
            <w:tcW w:w="3357" w:type="dxa"/>
          </w:tcPr>
          <w:p w14:paraId="4D5B88B8" w14:textId="77777777" w:rsidR="00B7076D" w:rsidRDefault="00B7076D" w:rsidP="007A4626">
            <w:pPr>
              <w:rPr>
                <w:color w:val="385623" w:themeColor="accent6" w:themeShade="80"/>
              </w:rPr>
            </w:pPr>
            <w:r>
              <w:rPr>
                <w:color w:val="385623" w:themeColor="accent6" w:themeShade="80"/>
              </w:rPr>
              <w:t>Sørg for at have udstyr, der kan spille lyd fra internettet.</w:t>
            </w:r>
          </w:p>
        </w:tc>
      </w:tr>
      <w:tr w:rsidR="00B7076D" w14:paraId="21C29B2C" w14:textId="77777777" w:rsidTr="007A4626">
        <w:tc>
          <w:tcPr>
            <w:tcW w:w="988" w:type="dxa"/>
          </w:tcPr>
          <w:p w14:paraId="3EF94835" w14:textId="77777777" w:rsidR="00B7076D" w:rsidRDefault="00B7076D" w:rsidP="007A4626">
            <w:pPr>
              <w:rPr>
                <w:color w:val="385623" w:themeColor="accent6" w:themeShade="80"/>
              </w:rPr>
            </w:pPr>
          </w:p>
        </w:tc>
        <w:tc>
          <w:tcPr>
            <w:tcW w:w="992" w:type="dxa"/>
          </w:tcPr>
          <w:p w14:paraId="7C53E860" w14:textId="77777777" w:rsidR="00B7076D" w:rsidRDefault="00B7076D" w:rsidP="007A4626">
            <w:pPr>
              <w:rPr>
                <w:color w:val="385623" w:themeColor="accent6" w:themeShade="80"/>
              </w:rPr>
            </w:pPr>
            <w:r>
              <w:rPr>
                <w:color w:val="385623" w:themeColor="accent6" w:themeShade="80"/>
              </w:rPr>
              <w:t>10 min.</w:t>
            </w:r>
          </w:p>
        </w:tc>
        <w:tc>
          <w:tcPr>
            <w:tcW w:w="8089" w:type="dxa"/>
          </w:tcPr>
          <w:p w14:paraId="3A06A3E3" w14:textId="77777777" w:rsidR="00B7076D" w:rsidRDefault="00B7076D" w:rsidP="007A4626">
            <w:pPr>
              <w:rPr>
                <w:b/>
                <w:bCs/>
                <w:color w:val="385623" w:themeColor="accent6" w:themeShade="80"/>
              </w:rPr>
            </w:pPr>
            <w:r w:rsidRPr="002740BC">
              <w:rPr>
                <w:b/>
                <w:bCs/>
                <w:color w:val="385623" w:themeColor="accent6" w:themeShade="80"/>
              </w:rPr>
              <w:t>Drøftelse to og to:</w:t>
            </w:r>
          </w:p>
          <w:p w14:paraId="2BC9FC6E" w14:textId="0041251D" w:rsidR="00B7076D" w:rsidRDefault="00B7076D" w:rsidP="007A4626">
            <w:pPr>
              <w:rPr>
                <w:color w:val="385623" w:themeColor="accent6" w:themeShade="80"/>
              </w:rPr>
            </w:pPr>
            <w:r w:rsidRPr="00F777D8">
              <w:rPr>
                <w:color w:val="385623" w:themeColor="accent6" w:themeShade="80"/>
              </w:rPr>
              <w:t>Bed deltagerne vende sig mod deres sidemand og drøft</w:t>
            </w:r>
            <w:r>
              <w:rPr>
                <w:color w:val="385623" w:themeColor="accent6" w:themeShade="80"/>
              </w:rPr>
              <w:t>e</w:t>
            </w:r>
            <w:r w:rsidRPr="00F777D8">
              <w:rPr>
                <w:color w:val="385623" w:themeColor="accent6" w:themeShade="80"/>
              </w:rPr>
              <w:t>:</w:t>
            </w:r>
          </w:p>
          <w:p w14:paraId="7EE5CDF1" w14:textId="77777777" w:rsidR="00B7076D" w:rsidRPr="00533591" w:rsidRDefault="00B7076D" w:rsidP="00B7076D">
            <w:pPr>
              <w:pStyle w:val="Listeafsnit"/>
              <w:numPr>
                <w:ilvl w:val="0"/>
                <w:numId w:val="1"/>
              </w:numPr>
              <w:rPr>
                <w:color w:val="385623" w:themeColor="accent6" w:themeShade="80"/>
              </w:rPr>
            </w:pPr>
            <w:r w:rsidRPr="00F777D8">
              <w:rPr>
                <w:color w:val="385623" w:themeColor="accent6" w:themeShade="80"/>
              </w:rPr>
              <w:t>Om de har lignende ”ritualer”</w:t>
            </w:r>
            <w:r>
              <w:rPr>
                <w:color w:val="385623" w:themeColor="accent6" w:themeShade="80"/>
              </w:rPr>
              <w:t>, mentale øvelser</w:t>
            </w:r>
            <w:r w:rsidRPr="00F777D8">
              <w:rPr>
                <w:color w:val="385623" w:themeColor="accent6" w:themeShade="80"/>
              </w:rPr>
              <w:t xml:space="preserve"> eller små ting, de gør for at forberede sig til vagten</w:t>
            </w:r>
            <w:r>
              <w:rPr>
                <w:color w:val="385623" w:themeColor="accent6" w:themeShade="80"/>
              </w:rPr>
              <w:t>, og h</w:t>
            </w:r>
            <w:r w:rsidRPr="00533591">
              <w:rPr>
                <w:color w:val="385623" w:themeColor="accent6" w:themeShade="80"/>
              </w:rPr>
              <w:t>vad de</w:t>
            </w:r>
            <w:r>
              <w:rPr>
                <w:color w:val="385623" w:themeColor="accent6" w:themeShade="80"/>
              </w:rPr>
              <w:t>t</w:t>
            </w:r>
            <w:r w:rsidRPr="00533591">
              <w:rPr>
                <w:color w:val="385623" w:themeColor="accent6" w:themeShade="80"/>
              </w:rPr>
              <w:t xml:space="preserve"> gør for dem?</w:t>
            </w:r>
          </w:p>
          <w:p w14:paraId="511A896A" w14:textId="77777777" w:rsidR="00B7076D" w:rsidRDefault="00B7076D" w:rsidP="00B7076D">
            <w:pPr>
              <w:pStyle w:val="Listeafsnit"/>
              <w:numPr>
                <w:ilvl w:val="0"/>
                <w:numId w:val="1"/>
              </w:numPr>
              <w:rPr>
                <w:color w:val="385623" w:themeColor="accent6" w:themeShade="80"/>
              </w:rPr>
            </w:pPr>
            <w:r w:rsidRPr="00F777D8">
              <w:rPr>
                <w:color w:val="385623" w:themeColor="accent6" w:themeShade="80"/>
              </w:rPr>
              <w:t>Og om de har idéer til, hvordan I som rådgivningstilbud kunne være med til at skabe gode ”overgangs-ritualer” for rådgiverne (ud over det I måske allerede gør)?</w:t>
            </w:r>
          </w:p>
          <w:p w14:paraId="021692E2" w14:textId="77777777" w:rsidR="00B7076D" w:rsidRPr="00F777D8" w:rsidRDefault="00B7076D" w:rsidP="007A4626">
            <w:pPr>
              <w:pStyle w:val="Listeafsnit"/>
              <w:rPr>
                <w:color w:val="385623" w:themeColor="accent6" w:themeShade="80"/>
              </w:rPr>
            </w:pPr>
          </w:p>
        </w:tc>
        <w:tc>
          <w:tcPr>
            <w:tcW w:w="3357" w:type="dxa"/>
          </w:tcPr>
          <w:p w14:paraId="370DA6BE" w14:textId="77777777" w:rsidR="00B7076D" w:rsidRDefault="00B7076D" w:rsidP="007A4626">
            <w:pPr>
              <w:rPr>
                <w:color w:val="385623" w:themeColor="accent6" w:themeShade="80"/>
              </w:rPr>
            </w:pPr>
            <w:r>
              <w:rPr>
                <w:color w:val="385623" w:themeColor="accent6" w:themeShade="80"/>
              </w:rPr>
              <w:t>Skriv eventuelt spørgsmålene på en flip eller en tavle.</w:t>
            </w:r>
          </w:p>
        </w:tc>
      </w:tr>
      <w:tr w:rsidR="00B7076D" w14:paraId="100FF864" w14:textId="77777777" w:rsidTr="007A4626">
        <w:tc>
          <w:tcPr>
            <w:tcW w:w="988" w:type="dxa"/>
          </w:tcPr>
          <w:p w14:paraId="41C7B0CA" w14:textId="77777777" w:rsidR="00B7076D" w:rsidRDefault="00B7076D" w:rsidP="007A4626">
            <w:pPr>
              <w:rPr>
                <w:color w:val="385623" w:themeColor="accent6" w:themeShade="80"/>
              </w:rPr>
            </w:pPr>
          </w:p>
        </w:tc>
        <w:tc>
          <w:tcPr>
            <w:tcW w:w="992" w:type="dxa"/>
          </w:tcPr>
          <w:p w14:paraId="24D60C00" w14:textId="77777777" w:rsidR="00B7076D" w:rsidRDefault="00B7076D" w:rsidP="007A4626">
            <w:pPr>
              <w:rPr>
                <w:color w:val="385623" w:themeColor="accent6" w:themeShade="80"/>
              </w:rPr>
            </w:pPr>
            <w:r>
              <w:rPr>
                <w:color w:val="385623" w:themeColor="accent6" w:themeShade="80"/>
              </w:rPr>
              <w:t>20 min.</w:t>
            </w:r>
          </w:p>
        </w:tc>
        <w:tc>
          <w:tcPr>
            <w:tcW w:w="8089" w:type="dxa"/>
          </w:tcPr>
          <w:p w14:paraId="429734F1" w14:textId="77777777" w:rsidR="00B7076D" w:rsidRDefault="00B7076D" w:rsidP="007A4626">
            <w:pPr>
              <w:rPr>
                <w:b/>
                <w:bCs/>
                <w:color w:val="385623" w:themeColor="accent6" w:themeShade="80"/>
              </w:rPr>
            </w:pPr>
            <w:r w:rsidRPr="000446D7">
              <w:rPr>
                <w:b/>
                <w:bCs/>
                <w:color w:val="385623" w:themeColor="accent6" w:themeShade="80"/>
              </w:rPr>
              <w:t>Drøftelse i plenum:</w:t>
            </w:r>
          </w:p>
          <w:p w14:paraId="3DD6CC54" w14:textId="77777777" w:rsidR="00B7076D" w:rsidRDefault="00B7076D" w:rsidP="007A4626">
            <w:pPr>
              <w:rPr>
                <w:color w:val="385623" w:themeColor="accent6" w:themeShade="80"/>
              </w:rPr>
            </w:pPr>
            <w:r>
              <w:rPr>
                <w:color w:val="385623" w:themeColor="accent6" w:themeShade="80"/>
              </w:rPr>
              <w:t>Bed deltagerne om at dele deres pointer fra den korte drøftelse i plenum.</w:t>
            </w:r>
          </w:p>
          <w:p w14:paraId="746996FE" w14:textId="77777777" w:rsidR="00B7076D" w:rsidRDefault="00B7076D" w:rsidP="007A4626">
            <w:pPr>
              <w:rPr>
                <w:color w:val="385623" w:themeColor="accent6" w:themeShade="80"/>
              </w:rPr>
            </w:pPr>
          </w:p>
          <w:p w14:paraId="11D27E5F" w14:textId="7146C7BF" w:rsidR="00B7076D" w:rsidRDefault="00B7076D" w:rsidP="007A4626">
            <w:pPr>
              <w:rPr>
                <w:color w:val="385623" w:themeColor="accent6" w:themeShade="80"/>
              </w:rPr>
            </w:pPr>
            <w:r>
              <w:rPr>
                <w:color w:val="385623" w:themeColor="accent6" w:themeShade="80"/>
              </w:rPr>
              <w:t xml:space="preserve">Er der kommet idéer til, hvad rådgivningen kan gøre for at understøtte rådgivernes </w:t>
            </w:r>
            <w:r w:rsidR="00A86D55">
              <w:rPr>
                <w:color w:val="385623" w:themeColor="accent6" w:themeShade="80"/>
              </w:rPr>
              <w:t>check</w:t>
            </w:r>
            <w:r>
              <w:rPr>
                <w:color w:val="385623" w:themeColor="accent6" w:themeShade="80"/>
              </w:rPr>
              <w:t xml:space="preserve"> in, samler du op på dem til sidst og fortæller, hvad der kommer til at ske med idéerne. </w:t>
            </w:r>
          </w:p>
          <w:p w14:paraId="5346ABCC" w14:textId="77777777" w:rsidR="00B7076D" w:rsidRPr="00B95086" w:rsidRDefault="00B7076D" w:rsidP="007A4626">
            <w:pPr>
              <w:rPr>
                <w:color w:val="385623" w:themeColor="accent6" w:themeShade="80"/>
              </w:rPr>
            </w:pPr>
          </w:p>
        </w:tc>
        <w:tc>
          <w:tcPr>
            <w:tcW w:w="3357" w:type="dxa"/>
          </w:tcPr>
          <w:p w14:paraId="59398E2B" w14:textId="77777777" w:rsidR="00B7076D" w:rsidRDefault="00B7076D" w:rsidP="007A4626">
            <w:pPr>
              <w:rPr>
                <w:color w:val="385623" w:themeColor="accent6" w:themeShade="80"/>
              </w:rPr>
            </w:pPr>
          </w:p>
        </w:tc>
      </w:tr>
    </w:tbl>
    <w:p w14:paraId="68FC1061" w14:textId="77777777" w:rsidR="004019C0" w:rsidRDefault="004019C0" w:rsidP="00B7076D"/>
    <w:sectPr w:rsidR="004019C0" w:rsidSect="00B7076D">
      <w:pgSz w:w="16838" w:h="11906" w:orient="landscape"/>
      <w:pgMar w:top="1134"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dleshamPro">
    <w:panose1 w:val="02000503000000020003"/>
    <w:charset w:val="00"/>
    <w:family w:val="auto"/>
    <w:pitch w:val="variable"/>
    <w:sig w:usb0="00000007" w:usb1="10000001" w:usb2="00000000" w:usb3="00000000" w:csb0="00000093" w:csb1="00000000"/>
  </w:font>
  <w:font w:name="GTWalsheimProBold">
    <w:panose1 w:val="02000503040000020003"/>
    <w:charset w:val="00"/>
    <w:family w:val="auto"/>
    <w:pitch w:val="variable"/>
    <w:sig w:usb0="A00002AF" w:usb1="5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E733C"/>
    <w:multiLevelType w:val="hybridMultilevel"/>
    <w:tmpl w:val="C99264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745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6D"/>
    <w:rsid w:val="0009122C"/>
    <w:rsid w:val="0020622F"/>
    <w:rsid w:val="004019C0"/>
    <w:rsid w:val="0094308A"/>
    <w:rsid w:val="00946BCB"/>
    <w:rsid w:val="00A0143E"/>
    <w:rsid w:val="00A86D55"/>
    <w:rsid w:val="00B5696B"/>
    <w:rsid w:val="00B7076D"/>
    <w:rsid w:val="00BB3548"/>
    <w:rsid w:val="00FE3D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33C9"/>
  <w15:chartTrackingRefBased/>
  <w15:docId w15:val="{AF09E907-F5AE-4F28-AB8D-5A69E9F5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6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7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Props1.xml><?xml version="1.0" encoding="utf-8"?>
<ds:datastoreItem xmlns:ds="http://schemas.openxmlformats.org/officeDocument/2006/customXml" ds:itemID="{4CCFB3E9-978B-4E4C-8AFF-919C0123E0B9}">
  <ds:schemaRefs>
    <ds:schemaRef ds:uri="http://schemas.microsoft.com/sharepoint/v3/contenttype/forms"/>
  </ds:schemaRefs>
</ds:datastoreItem>
</file>

<file path=customXml/itemProps2.xml><?xml version="1.0" encoding="utf-8"?>
<ds:datastoreItem xmlns:ds="http://schemas.openxmlformats.org/officeDocument/2006/customXml" ds:itemID="{4D7BF42D-5262-412A-9333-59ED9433D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44BDA-4108-44AE-B9DD-2247635DD207}">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1409</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Lyndby Christensen</dc:creator>
  <cp:keywords/>
  <dc:description/>
  <cp:lastModifiedBy>Ulla Lyndby Christensen</cp:lastModifiedBy>
  <cp:revision>9</cp:revision>
  <dcterms:created xsi:type="dcterms:W3CDTF">2022-10-01T20:23:00Z</dcterms:created>
  <dcterms:modified xsi:type="dcterms:W3CDTF">2022-11-07T15:18:00Z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