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FFFF" w14:textId="57144675" w:rsidR="004244BB" w:rsidRPr="00F20AF0" w:rsidRDefault="00D25E66">
      <w:pPr>
        <w:rPr>
          <w:rFonts w:ascii="GTWalsheimProBold" w:hAnsi="GTWalsheimProBold"/>
          <w:color w:val="385623" w:themeColor="accent6" w:themeShade="80"/>
          <w:sz w:val="32"/>
          <w:szCs w:val="32"/>
        </w:rPr>
      </w:pPr>
      <w:r w:rsidRPr="00CA2023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 xml:space="preserve">Øvelse 7: </w:t>
      </w:r>
      <w:r w:rsidR="00D13C77" w:rsidRPr="00CA2023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N</w:t>
      </w:r>
      <w:r w:rsidRPr="00CA2023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år noget går skævt i relationen</w:t>
      </w:r>
      <w:r w:rsidR="00CA2023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br/>
      </w:r>
      <w:r w:rsidR="00CA2023" w:rsidRPr="00F20AF0">
        <w:rPr>
          <w:rFonts w:ascii="WindleshamPro" w:hAnsi="WindleshamPro"/>
          <w:color w:val="385623" w:themeColor="accent6" w:themeShade="80"/>
          <w:sz w:val="32"/>
          <w:szCs w:val="32"/>
        </w:rPr>
        <w:t xml:space="preserve">Handout til </w:t>
      </w:r>
      <w:r w:rsidR="00D74F51" w:rsidRPr="00F20AF0">
        <w:rPr>
          <w:rFonts w:ascii="WindleshamPro" w:hAnsi="WindleshamPro"/>
          <w:color w:val="385623" w:themeColor="accent6" w:themeShade="80"/>
          <w:sz w:val="32"/>
          <w:szCs w:val="32"/>
        </w:rPr>
        <w:t>dig, der spiller bruger i rollespillet.</w:t>
      </w:r>
    </w:p>
    <w:p w14:paraId="136A9F0E" w14:textId="77777777" w:rsidR="00D74F51" w:rsidRDefault="00D74F51">
      <w:pPr>
        <w:rPr>
          <w:b/>
          <w:bCs/>
          <w:color w:val="385623" w:themeColor="accent6" w:themeShade="80"/>
        </w:rPr>
      </w:pPr>
    </w:p>
    <w:p w14:paraId="14B468D4" w14:textId="77777777" w:rsidR="00DA0DC8" w:rsidRPr="00F20AF0" w:rsidRDefault="00D74F51">
      <w:pPr>
        <w:rPr>
          <w:rFonts w:ascii="WindleshamPro" w:hAnsi="WindleshamPro"/>
          <w:color w:val="385623" w:themeColor="accent6" w:themeShade="80"/>
          <w:sz w:val="32"/>
          <w:szCs w:val="32"/>
        </w:rPr>
      </w:pPr>
      <w:r w:rsidRPr="00F20AF0">
        <w:rPr>
          <w:rFonts w:ascii="WindleshamPro" w:hAnsi="WindleshamPro"/>
          <w:color w:val="385623" w:themeColor="accent6" w:themeShade="80"/>
          <w:sz w:val="32"/>
          <w:szCs w:val="32"/>
        </w:rPr>
        <w:t>Nedenfor kan du læse, hvem du er, og hvordan du reagerer på det, du møder i rådgivningen:</w:t>
      </w:r>
      <w:r w:rsidR="000C62F3" w:rsidRPr="00F20AF0">
        <w:rPr>
          <w:rFonts w:ascii="WindleshamPro" w:hAnsi="WindleshamPro"/>
          <w:color w:val="385623" w:themeColor="accent6" w:themeShade="80"/>
          <w:sz w:val="32"/>
          <w:szCs w:val="32"/>
        </w:rPr>
        <w:br/>
      </w:r>
    </w:p>
    <w:p w14:paraId="06643623" w14:textId="77777777" w:rsidR="003D4988" w:rsidRDefault="00F20AF0" w:rsidP="003D4988">
      <w:pPr>
        <w:rPr>
          <w:rFonts w:ascii="GTWalsheimProBold" w:hAnsi="GTWalsheimProBold"/>
          <w:b/>
          <w:bCs/>
          <w:color w:val="385623" w:themeColor="accent6" w:themeShade="80"/>
        </w:rPr>
      </w:pPr>
      <w:r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Dit problem:</w:t>
      </w:r>
    </w:p>
    <w:p w14:paraId="45FD6CDF" w14:textId="01CA1708" w:rsidR="0000180C" w:rsidRPr="003D4988" w:rsidRDefault="00764FB5" w:rsidP="003D4988">
      <w:pPr>
        <w:pStyle w:val="Listeafsnit"/>
        <w:numPr>
          <w:ilvl w:val="0"/>
          <w:numId w:val="2"/>
        </w:numPr>
        <w:rPr>
          <w:rFonts w:ascii="WindleshamPro" w:hAnsi="WindleshamPro"/>
          <w:b/>
          <w:bCs/>
          <w:color w:val="385623" w:themeColor="accent6" w:themeShade="80"/>
        </w:rPr>
      </w:pPr>
      <w:r w:rsidRPr="003D4988">
        <w:rPr>
          <w:rFonts w:ascii="WindleshamPro" w:hAnsi="WindleshamPro"/>
          <w:color w:val="385623" w:themeColor="accent6" w:themeShade="80"/>
        </w:rPr>
        <w:t>Du ringer ind</w:t>
      </w:r>
      <w:r w:rsidR="00FF1C11" w:rsidRPr="003D4988">
        <w:rPr>
          <w:rFonts w:ascii="WindleshamPro" w:hAnsi="WindleshamPro"/>
          <w:color w:val="385623" w:themeColor="accent6" w:themeShade="80"/>
        </w:rPr>
        <w:t xml:space="preserve">, fordi </w:t>
      </w:r>
      <w:r w:rsidR="00FF33B1" w:rsidRPr="003D4988">
        <w:rPr>
          <w:rFonts w:ascii="WindleshamPro" w:hAnsi="WindleshamPro"/>
          <w:color w:val="385623" w:themeColor="accent6" w:themeShade="80"/>
        </w:rPr>
        <w:t>d</w:t>
      </w:r>
      <w:r w:rsidR="006C53BD" w:rsidRPr="003D4988">
        <w:rPr>
          <w:rFonts w:ascii="WindleshamPro" w:hAnsi="WindleshamPro"/>
          <w:color w:val="385623" w:themeColor="accent6" w:themeShade="80"/>
        </w:rPr>
        <w:t xml:space="preserve">u er i et forhold, hvor </w:t>
      </w:r>
      <w:r w:rsidR="006C53BD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din partner udsætter dig for </w:t>
      </w:r>
      <w:r w:rsidR="000C62F3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psykisk og fysisk vold</w:t>
      </w:r>
      <w:r w:rsidR="000C62F3" w:rsidRPr="003D4988">
        <w:rPr>
          <w:rFonts w:ascii="WindleshamPro" w:hAnsi="WindleshamPro"/>
          <w:i/>
          <w:iCs/>
          <w:color w:val="385623" w:themeColor="accent6" w:themeShade="80"/>
        </w:rPr>
        <w:t>.</w:t>
      </w:r>
      <w:r w:rsidR="000C62F3" w:rsidRPr="003D4988">
        <w:rPr>
          <w:rFonts w:ascii="WindleshamPro" w:hAnsi="WindleshamPro"/>
          <w:color w:val="385623" w:themeColor="accent6" w:themeShade="80"/>
        </w:rPr>
        <w:t xml:space="preserve"> </w:t>
      </w:r>
      <w:r w:rsidR="0000180C" w:rsidRPr="003D4988">
        <w:rPr>
          <w:rFonts w:ascii="WindleshamPro" w:hAnsi="WindleshamPro"/>
          <w:color w:val="385623" w:themeColor="accent6" w:themeShade="80"/>
        </w:rPr>
        <w:t>I har været sammen i mange år</w:t>
      </w:r>
      <w:r w:rsidR="00CD5E8C">
        <w:rPr>
          <w:rFonts w:ascii="WindleshamPro" w:hAnsi="WindleshamPro"/>
          <w:color w:val="385623" w:themeColor="accent6" w:themeShade="80"/>
        </w:rPr>
        <w:t xml:space="preserve"> og har ingen børn</w:t>
      </w:r>
      <w:r w:rsidR="0000180C" w:rsidRPr="003D4988">
        <w:rPr>
          <w:rFonts w:ascii="WindleshamPro" w:hAnsi="WindleshamPro"/>
          <w:color w:val="385623" w:themeColor="accent6" w:themeShade="80"/>
        </w:rPr>
        <w:t>, og du er i tvivl om, hvorvidt du skal gå eller blive.</w:t>
      </w:r>
    </w:p>
    <w:p w14:paraId="2D5C7DD0" w14:textId="77777777" w:rsidR="003D4988" w:rsidRDefault="003D4988" w:rsidP="003D4988">
      <w:pPr>
        <w:rPr>
          <w:rFonts w:ascii="GTWalsheimProBold" w:hAnsi="GTWalsheimProBold"/>
          <w:b/>
          <w:bCs/>
          <w:color w:val="385623" w:themeColor="accent6" w:themeShade="80"/>
          <w:u w:val="single"/>
        </w:rPr>
      </w:pPr>
    </w:p>
    <w:p w14:paraId="68EF7618" w14:textId="4E2CF269" w:rsidR="003D4988" w:rsidRDefault="00F20AF0" w:rsidP="003D4988">
      <w:pPr>
        <w:rPr>
          <w:rFonts w:ascii="GTWalsheimProBold" w:hAnsi="GTWalsheimProBold"/>
          <w:b/>
          <w:bCs/>
          <w:color w:val="385623" w:themeColor="accent6" w:themeShade="80"/>
        </w:rPr>
      </w:pPr>
      <w:r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Om dig:</w:t>
      </w:r>
    </w:p>
    <w:p w14:paraId="496E3D55" w14:textId="697C8461" w:rsidR="00F20AF0" w:rsidRPr="003D4988" w:rsidRDefault="007210CC" w:rsidP="003D4988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</w:rPr>
      </w:pPr>
      <w:r w:rsidRPr="003D4988">
        <w:rPr>
          <w:rFonts w:ascii="WindleshamPro" w:hAnsi="WindleshamPro"/>
          <w:color w:val="385623" w:themeColor="accent6" w:themeShade="80"/>
        </w:rPr>
        <w:t xml:space="preserve">Du </w:t>
      </w:r>
      <w:r w:rsidR="00286176" w:rsidRPr="003D4988">
        <w:rPr>
          <w:rFonts w:ascii="WindleshamPro" w:hAnsi="WindleshamPro"/>
          <w:color w:val="385623" w:themeColor="accent6" w:themeShade="80"/>
        </w:rPr>
        <w:t xml:space="preserve">arbejder til dagligt som direktør i en stor virksomhed, dyrker meget sport og </w:t>
      </w:r>
      <w:r w:rsidR="00D17EFC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betragter dig selv som et handlekraftigt og stærkt menneske</w:t>
      </w:r>
      <w:r w:rsidR="00286176" w:rsidRPr="003D4988">
        <w:rPr>
          <w:rFonts w:ascii="WindleshamPro" w:hAnsi="WindleshamPro"/>
          <w:color w:val="385623" w:themeColor="accent6" w:themeShade="80"/>
        </w:rPr>
        <w:t>,</w:t>
      </w:r>
      <w:r w:rsidR="00D17EFC" w:rsidRPr="003D4988">
        <w:rPr>
          <w:rFonts w:ascii="WindleshamPro" w:hAnsi="WindleshamPro"/>
          <w:color w:val="385623" w:themeColor="accent6" w:themeShade="80"/>
        </w:rPr>
        <w:t xml:space="preserve"> og </w:t>
      </w:r>
      <w:r w:rsidR="00286176" w:rsidRPr="003D4988">
        <w:rPr>
          <w:rFonts w:ascii="WindleshamPro" w:hAnsi="WindleshamPro"/>
          <w:color w:val="385623" w:themeColor="accent6" w:themeShade="80"/>
        </w:rPr>
        <w:t xml:space="preserve">du </w:t>
      </w:r>
      <w:r w:rsidR="00D85FE1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vil ikke</w:t>
      </w:r>
      <w:r w:rsidR="00764FB5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 </w:t>
      </w:r>
      <w:r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opfatte</w:t>
      </w:r>
      <w:r w:rsidR="00D85FE1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s</w:t>
      </w:r>
      <w:r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 som et offer</w:t>
      </w:r>
      <w:r w:rsidR="00D17EFC" w:rsidRPr="003D4988">
        <w:rPr>
          <w:rFonts w:ascii="WindleshamPro" w:hAnsi="WindleshamPro"/>
          <w:color w:val="385623" w:themeColor="accent6" w:themeShade="80"/>
        </w:rPr>
        <w:t xml:space="preserve">. </w:t>
      </w:r>
    </w:p>
    <w:p w14:paraId="2533D0E1" w14:textId="77777777" w:rsidR="00F20AF0" w:rsidRPr="00F20AF0" w:rsidRDefault="00F20AF0" w:rsidP="00F20AF0">
      <w:pPr>
        <w:pStyle w:val="Listeafsnit"/>
        <w:rPr>
          <w:rFonts w:ascii="WindleshamPro" w:hAnsi="WindleshamPro"/>
          <w:color w:val="385623" w:themeColor="accent6" w:themeShade="80"/>
        </w:rPr>
      </w:pPr>
    </w:p>
    <w:p w14:paraId="0CE89BB4" w14:textId="2F36191D" w:rsidR="00363D48" w:rsidRPr="00F20AF0" w:rsidRDefault="002A24F1" w:rsidP="00F20AF0">
      <w:pPr>
        <w:pStyle w:val="Listeafsnit"/>
        <w:rPr>
          <w:rFonts w:ascii="GTWalsheimProBold" w:hAnsi="GTWalsheimProBold"/>
          <w:b/>
          <w:bCs/>
          <w:color w:val="385623" w:themeColor="accent6" w:themeShade="80"/>
        </w:rPr>
      </w:pPr>
      <w:r w:rsidRPr="00F20AF0">
        <w:rPr>
          <w:rFonts w:ascii="WindleshamPro" w:hAnsi="WindleshamPro"/>
          <w:color w:val="385623" w:themeColor="accent6" w:themeShade="80"/>
        </w:rPr>
        <w:t>Får du fornemmelsen af, at nogen har medlidenhed med dig, oplever du det som meget nedladende</w:t>
      </w:r>
      <w:r w:rsidR="00C32D22" w:rsidRPr="00F20AF0">
        <w:rPr>
          <w:rFonts w:ascii="WindleshamPro" w:hAnsi="WindleshamPro"/>
          <w:color w:val="385623" w:themeColor="accent6" w:themeShade="80"/>
        </w:rPr>
        <w:t xml:space="preserve"> og </w:t>
      </w:r>
      <w:r w:rsidR="00C32D22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reagerer med vrede og irritation</w:t>
      </w:r>
      <w:r w:rsidR="00C32D22" w:rsidRPr="00F20AF0">
        <w:rPr>
          <w:rFonts w:ascii="WindleshamPro" w:hAnsi="WindleshamPro"/>
          <w:color w:val="385623" w:themeColor="accent6" w:themeShade="80"/>
        </w:rPr>
        <w:t xml:space="preserve">. </w:t>
      </w:r>
    </w:p>
    <w:p w14:paraId="3BE65CE1" w14:textId="77777777" w:rsidR="00F20AF0" w:rsidRDefault="00F20AF0">
      <w:pPr>
        <w:rPr>
          <w:rFonts w:ascii="GTWalsheimProBold" w:hAnsi="GTWalsheimProBold"/>
          <w:b/>
          <w:bCs/>
          <w:color w:val="385623" w:themeColor="accent6" w:themeShade="80"/>
        </w:rPr>
      </w:pPr>
    </w:p>
    <w:p w14:paraId="7A054AA2" w14:textId="77777777" w:rsidR="003D4988" w:rsidRDefault="00F20AF0" w:rsidP="003D4988">
      <w:pPr>
        <w:rPr>
          <w:rFonts w:ascii="GTWalsheimProBold" w:hAnsi="GTWalsheimProBold"/>
          <w:b/>
          <w:bCs/>
          <w:color w:val="385623" w:themeColor="accent6" w:themeShade="80"/>
        </w:rPr>
      </w:pPr>
      <w:r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Dit behov i rådgivningen:</w:t>
      </w:r>
    </w:p>
    <w:p w14:paraId="5C3F3FD4" w14:textId="6922E057" w:rsidR="00286176" w:rsidRPr="003D4988" w:rsidRDefault="00363D48" w:rsidP="003D4988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</w:rPr>
      </w:pPr>
      <w:r w:rsidRPr="003D4988">
        <w:rPr>
          <w:rFonts w:ascii="WindleshamPro" w:hAnsi="WindleshamPro"/>
          <w:color w:val="385623" w:themeColor="accent6" w:themeShade="80"/>
        </w:rPr>
        <w:t>I rådgivningssituationen har du</w:t>
      </w:r>
      <w:r w:rsidR="00C32D22" w:rsidRPr="003D4988">
        <w:rPr>
          <w:rFonts w:ascii="WindleshamPro" w:hAnsi="WindleshamPro"/>
          <w:color w:val="385623" w:themeColor="accent6" w:themeShade="80"/>
        </w:rPr>
        <w:t xml:space="preserve"> </w:t>
      </w:r>
      <w:r w:rsidR="00C32D22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fokus på dine handlemuligheder og dine styrker</w:t>
      </w:r>
      <w:r w:rsidR="00C32D22" w:rsidRPr="003D4988">
        <w:rPr>
          <w:rFonts w:ascii="WindleshamPro" w:hAnsi="WindleshamPro"/>
          <w:color w:val="385623" w:themeColor="accent6" w:themeShade="80"/>
        </w:rPr>
        <w:t xml:space="preserve"> – og </w:t>
      </w:r>
      <w:r w:rsidR="00D2073F" w:rsidRPr="003D4988">
        <w:rPr>
          <w:rFonts w:ascii="WindleshamPro" w:hAnsi="WindleshamPro"/>
          <w:color w:val="385623" w:themeColor="accent6" w:themeShade="80"/>
        </w:rPr>
        <w:t>du</w:t>
      </w:r>
      <w:r w:rsidR="00C32D22" w:rsidRPr="003D4988">
        <w:rPr>
          <w:rFonts w:ascii="WindleshamPro" w:hAnsi="WindleshamPro"/>
          <w:color w:val="385623" w:themeColor="accent6" w:themeShade="80"/>
        </w:rPr>
        <w:t xml:space="preserve"> efterspørger, hvordan du helt konkret kan komme videre i din situation. </w:t>
      </w:r>
      <w:r w:rsidR="00370FA4" w:rsidRPr="003D4988">
        <w:rPr>
          <w:rFonts w:ascii="WindleshamPro" w:hAnsi="WindleshamPro"/>
          <w:color w:val="385623" w:themeColor="accent6" w:themeShade="80"/>
        </w:rPr>
        <w:t xml:space="preserve">Er der noget </w:t>
      </w:r>
      <w:r w:rsidR="00370FA4" w:rsidRPr="003D69F0">
        <w:rPr>
          <w:rFonts w:ascii="WindleshamPro" w:hAnsi="WindleshamPro"/>
          <w:b/>
          <w:bCs/>
          <w:i/>
          <w:iCs/>
          <w:color w:val="385623" w:themeColor="accent6" w:themeShade="80"/>
        </w:rPr>
        <w:t>lovgivning</w:t>
      </w:r>
      <w:r w:rsidR="00370FA4" w:rsidRPr="003D4988">
        <w:rPr>
          <w:rFonts w:ascii="WindleshamPro" w:hAnsi="WindleshamPro"/>
          <w:color w:val="385623" w:themeColor="accent6" w:themeShade="80"/>
        </w:rPr>
        <w:t>, du skal kende</w:t>
      </w:r>
      <w:r w:rsidR="00D2073F" w:rsidRPr="003D4988">
        <w:rPr>
          <w:rFonts w:ascii="WindleshamPro" w:hAnsi="WindleshamPro"/>
          <w:color w:val="385623" w:themeColor="accent6" w:themeShade="80"/>
        </w:rPr>
        <w:t xml:space="preserve"> i forhold til økonomien</w:t>
      </w:r>
      <w:r w:rsidR="00370FA4" w:rsidRPr="003D4988">
        <w:rPr>
          <w:rFonts w:ascii="WindleshamPro" w:hAnsi="WindleshamPro"/>
          <w:color w:val="385623" w:themeColor="accent6" w:themeShade="80"/>
        </w:rPr>
        <w:t xml:space="preserve">? </w:t>
      </w:r>
    </w:p>
    <w:p w14:paraId="4845E4DD" w14:textId="77777777" w:rsidR="003D4988" w:rsidRDefault="003D4988" w:rsidP="003D4988">
      <w:pPr>
        <w:rPr>
          <w:rFonts w:ascii="WindleshamPro" w:hAnsi="WindleshamPro"/>
          <w:b/>
          <w:bCs/>
          <w:color w:val="385623" w:themeColor="accent6" w:themeShade="80"/>
        </w:rPr>
      </w:pPr>
    </w:p>
    <w:p w14:paraId="36D2F6A8" w14:textId="77777777" w:rsidR="003D4988" w:rsidRDefault="0026006A" w:rsidP="003D4988">
      <w:pPr>
        <w:rPr>
          <w:rFonts w:ascii="WindleshamPro" w:hAnsi="WindleshamPro"/>
          <w:b/>
          <w:bCs/>
          <w:color w:val="385623" w:themeColor="accent6" w:themeShade="80"/>
          <w:u w:val="single"/>
        </w:rPr>
      </w:pPr>
      <w:r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Afslutning</w:t>
      </w:r>
      <w:r w:rsidR="00F20AF0"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en på samtalen</w:t>
      </w:r>
      <w:r w:rsidRPr="003D4988">
        <w:rPr>
          <w:rFonts w:ascii="GTWalsheimProBold" w:hAnsi="GTWalsheimProBold"/>
          <w:b/>
          <w:bCs/>
          <w:color w:val="385623" w:themeColor="accent6" w:themeShade="80"/>
          <w:u w:val="single"/>
        </w:rPr>
        <w:t>:</w:t>
      </w:r>
    </w:p>
    <w:p w14:paraId="1A8C932C" w14:textId="41B77A13" w:rsidR="00F20AF0" w:rsidRPr="003D4988" w:rsidRDefault="00764FB5" w:rsidP="003D4988">
      <w:pPr>
        <w:pStyle w:val="Listeafsnit"/>
        <w:numPr>
          <w:ilvl w:val="0"/>
          <w:numId w:val="2"/>
        </w:numPr>
        <w:rPr>
          <w:rFonts w:ascii="WindleshamPro" w:hAnsi="WindleshamPro"/>
          <w:color w:val="385623" w:themeColor="accent6" w:themeShade="80"/>
        </w:rPr>
      </w:pPr>
      <w:r w:rsidRPr="003D4988">
        <w:rPr>
          <w:rFonts w:ascii="WindleshamPro" w:hAnsi="WindleshamPro"/>
          <w:color w:val="385623" w:themeColor="accent6" w:themeShade="80"/>
        </w:rPr>
        <w:t xml:space="preserve">Du ender med at synes, at </w:t>
      </w:r>
      <w:r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rådgiveren er virkeligt irriterende</w:t>
      </w:r>
      <w:r w:rsidR="005F0051" w:rsidRPr="003D4988">
        <w:rPr>
          <w:rFonts w:ascii="WindleshamPro" w:hAnsi="WindleshamPro"/>
          <w:i/>
          <w:iCs/>
          <w:color w:val="385623" w:themeColor="accent6" w:themeShade="80"/>
        </w:rPr>
        <w:t>.</w:t>
      </w:r>
      <w:r w:rsidR="005F0051" w:rsidRPr="003D4988">
        <w:rPr>
          <w:rFonts w:ascii="WindleshamPro" w:hAnsi="WindleshamPro"/>
          <w:color w:val="385623" w:themeColor="accent6" w:themeShade="80"/>
        </w:rPr>
        <w:t xml:space="preserve"> Det viser du tydeligt,</w:t>
      </w:r>
      <w:r w:rsidR="005C15AE" w:rsidRPr="003D4988">
        <w:rPr>
          <w:rFonts w:ascii="WindleshamPro" w:hAnsi="WindleshamPro"/>
          <w:color w:val="385623" w:themeColor="accent6" w:themeShade="80"/>
        </w:rPr>
        <w:t xml:space="preserve"> og du må gerne skælde ud. </w:t>
      </w:r>
    </w:p>
    <w:p w14:paraId="1DF6B0BD" w14:textId="77777777" w:rsidR="00F20AF0" w:rsidRPr="00F20AF0" w:rsidRDefault="00F20AF0" w:rsidP="00F20AF0">
      <w:pPr>
        <w:pStyle w:val="Listeafsnit"/>
        <w:rPr>
          <w:rFonts w:ascii="WindleshamPro" w:hAnsi="WindleshamPro"/>
          <w:color w:val="385623" w:themeColor="accent6" w:themeShade="80"/>
        </w:rPr>
      </w:pPr>
    </w:p>
    <w:p w14:paraId="4C0401CE" w14:textId="011DEA67" w:rsidR="00764FB5" w:rsidRPr="00F20AF0" w:rsidRDefault="00F20AF0" w:rsidP="00F20AF0">
      <w:pPr>
        <w:pStyle w:val="Listeafsnit"/>
        <w:rPr>
          <w:rFonts w:ascii="WindleshamPro" w:hAnsi="WindleshamPro"/>
          <w:color w:val="385623" w:themeColor="accent6" w:themeShade="80"/>
        </w:rPr>
      </w:pPr>
      <w:r>
        <w:rPr>
          <w:rFonts w:ascii="WindleshamPro" w:hAnsi="WindleshamPro"/>
          <w:color w:val="385623" w:themeColor="accent6" w:themeShade="80"/>
        </w:rPr>
        <w:t>Du</w:t>
      </w:r>
      <w:r w:rsidR="00DD158D" w:rsidRPr="00F20AF0">
        <w:rPr>
          <w:rFonts w:ascii="WindleshamPro" w:hAnsi="WindleshamPro"/>
          <w:color w:val="385623" w:themeColor="accent6" w:themeShade="80"/>
        </w:rPr>
        <w:t xml:space="preserve"> beslutter dig for </w:t>
      </w:r>
      <w:r w:rsidR="00DD158D" w:rsidRPr="003D4988">
        <w:rPr>
          <w:rFonts w:ascii="WindleshamPro" w:hAnsi="WindleshamPro"/>
          <w:b/>
          <w:bCs/>
          <w:i/>
          <w:iCs/>
          <w:color w:val="385623" w:themeColor="accent6" w:themeShade="80"/>
        </w:rPr>
        <w:t>selv at finde frem til den viden</w:t>
      </w:r>
      <w:r w:rsidR="00DD158D" w:rsidRPr="00F20AF0">
        <w:rPr>
          <w:rFonts w:ascii="WindleshamPro" w:hAnsi="WindleshamPro"/>
          <w:color w:val="385623" w:themeColor="accent6" w:themeShade="80"/>
        </w:rPr>
        <w:t>, du har brug for</w:t>
      </w:r>
      <w:r w:rsidR="00C32200" w:rsidRPr="00F20AF0">
        <w:rPr>
          <w:rFonts w:ascii="WindleshamPro" w:hAnsi="WindleshamPro"/>
          <w:color w:val="385623" w:themeColor="accent6" w:themeShade="80"/>
        </w:rPr>
        <w:t>, på nettet</w:t>
      </w:r>
      <w:r w:rsidR="00DD158D" w:rsidRPr="00F20AF0">
        <w:rPr>
          <w:rFonts w:ascii="WindleshamPro" w:hAnsi="WindleshamPro"/>
          <w:color w:val="385623" w:themeColor="accent6" w:themeShade="80"/>
        </w:rPr>
        <w:t>.</w:t>
      </w:r>
    </w:p>
    <w:sectPr w:rsidR="00764FB5" w:rsidRPr="00F20A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762"/>
    <w:multiLevelType w:val="hybridMultilevel"/>
    <w:tmpl w:val="29F89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E6E"/>
    <w:multiLevelType w:val="hybridMultilevel"/>
    <w:tmpl w:val="4A647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3176">
    <w:abstractNumId w:val="0"/>
  </w:num>
  <w:num w:numId="2" w16cid:durableId="190921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6"/>
    <w:rsid w:val="0000180C"/>
    <w:rsid w:val="000C62F3"/>
    <w:rsid w:val="001C608B"/>
    <w:rsid w:val="0026006A"/>
    <w:rsid w:val="00286176"/>
    <w:rsid w:val="002A24F1"/>
    <w:rsid w:val="002F6FC2"/>
    <w:rsid w:val="00363D48"/>
    <w:rsid w:val="00370FA4"/>
    <w:rsid w:val="003D4988"/>
    <w:rsid w:val="003D69F0"/>
    <w:rsid w:val="003E4BAF"/>
    <w:rsid w:val="004244BB"/>
    <w:rsid w:val="005C15AE"/>
    <w:rsid w:val="005F0051"/>
    <w:rsid w:val="0063329D"/>
    <w:rsid w:val="006C53BD"/>
    <w:rsid w:val="007210CC"/>
    <w:rsid w:val="00764FB5"/>
    <w:rsid w:val="00AE67DC"/>
    <w:rsid w:val="00C32200"/>
    <w:rsid w:val="00C32D22"/>
    <w:rsid w:val="00C83E3F"/>
    <w:rsid w:val="00CA2023"/>
    <w:rsid w:val="00CD5E8C"/>
    <w:rsid w:val="00D13C77"/>
    <w:rsid w:val="00D17EFC"/>
    <w:rsid w:val="00D2073F"/>
    <w:rsid w:val="00D25E66"/>
    <w:rsid w:val="00D74F51"/>
    <w:rsid w:val="00D85FE1"/>
    <w:rsid w:val="00DA0DC8"/>
    <w:rsid w:val="00DC66E2"/>
    <w:rsid w:val="00DD158D"/>
    <w:rsid w:val="00E45FAE"/>
    <w:rsid w:val="00EF1B93"/>
    <w:rsid w:val="00F20AF0"/>
    <w:rsid w:val="00FF1C1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102"/>
  <w15:chartTrackingRefBased/>
  <w15:docId w15:val="{266E3DA9-C2BA-4958-8C97-CB40249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499AE-A29E-43C3-B41F-1E038016E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2D79B-9ABA-49B4-B2DA-2EAB5887F5D3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EB6473B4-F461-4D5B-BE47-CE9ED54E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40</cp:revision>
  <dcterms:created xsi:type="dcterms:W3CDTF">2022-08-18T09:37:00Z</dcterms:created>
  <dcterms:modified xsi:type="dcterms:W3CDTF">2022-11-07T15:01:00Z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