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355D" w14:textId="756C4E6C" w:rsidR="0005430A" w:rsidRPr="000C4D04" w:rsidRDefault="0005430A">
      <w:pPr>
        <w:rPr>
          <w:color w:val="385623"/>
        </w:rPr>
      </w:pPr>
      <w:r w:rsidRPr="000C4D04">
        <w:rPr>
          <w:rFonts w:ascii="GTWalsheimProBold" w:hAnsi="GTWalsheimProBold"/>
          <w:color w:val="385623"/>
          <w:sz w:val="32"/>
          <w:szCs w:val="32"/>
        </w:rPr>
        <w:t>Øvelse 7: Når noget går skævt i samtalen</w:t>
      </w:r>
      <w:r w:rsidR="0090554E">
        <w:rPr>
          <w:rFonts w:ascii="GTWalsheimProBold" w:hAnsi="GTWalsheimProBold"/>
          <w:color w:val="385623"/>
          <w:sz w:val="32"/>
          <w:szCs w:val="32"/>
        </w:rPr>
        <w:t>.</w:t>
      </w:r>
      <w:r w:rsidRPr="000C4D04">
        <w:rPr>
          <w:color w:val="385623"/>
        </w:rPr>
        <w:br/>
      </w:r>
      <w:r w:rsidRPr="000C4D04">
        <w:rPr>
          <w:rFonts w:ascii="WindleshamPro" w:hAnsi="WindleshamPro"/>
          <w:color w:val="385623"/>
          <w:sz w:val="32"/>
          <w:szCs w:val="32"/>
        </w:rPr>
        <w:t>Drejebog til facilitator</w:t>
      </w:r>
      <w:r w:rsidR="00E31889">
        <w:rPr>
          <w:rFonts w:ascii="WindleshamPro" w:hAnsi="WindleshamPro"/>
          <w:color w:val="385623"/>
          <w:sz w:val="32"/>
          <w:szCs w:val="32"/>
        </w:rPr>
        <w:t>.</w:t>
      </w:r>
      <w:r w:rsidR="00FA1A11">
        <w:rPr>
          <w:rFonts w:ascii="WindleshamPro" w:hAnsi="WindleshamPro"/>
          <w:color w:val="385623"/>
          <w:sz w:val="32"/>
          <w:szCs w:val="32"/>
        </w:rPr>
        <w:br/>
      </w:r>
    </w:p>
    <w:p w14:paraId="7466B5FF" w14:textId="156F99CF" w:rsidR="00FA1A11" w:rsidRPr="000C4D04" w:rsidRDefault="00FA1A11" w:rsidP="00FA1A11">
      <w:pPr>
        <w:rPr>
          <w:color w:val="385623"/>
        </w:rPr>
      </w:pPr>
      <w:r w:rsidRPr="00FA1A11">
        <w:rPr>
          <w:color w:val="385623"/>
        </w:rPr>
        <w:t>Formål med øvelsen: Øvelsen giver rådgiverne redskaber til at få øje på noget af det, der kan gøre, at relationen til brugeren går skævt. Samtidig får de erfaring med, hvordan de kan arbejde på at rette op på relationen, hvis det sker.</w:t>
      </w:r>
    </w:p>
    <w:tbl>
      <w:tblPr>
        <w:tblStyle w:val="Tabel-Gitter"/>
        <w:tblW w:w="0" w:type="auto"/>
        <w:tblLook w:val="04A0" w:firstRow="1" w:lastRow="0" w:firstColumn="1" w:lastColumn="0" w:noHBand="0" w:noVBand="1"/>
      </w:tblPr>
      <w:tblGrid>
        <w:gridCol w:w="988"/>
        <w:gridCol w:w="992"/>
        <w:gridCol w:w="8089"/>
        <w:gridCol w:w="3357"/>
      </w:tblGrid>
      <w:tr w:rsidR="000C4D04" w:rsidRPr="000C4D04" w14:paraId="1376B865" w14:textId="77777777" w:rsidTr="007A4626">
        <w:tc>
          <w:tcPr>
            <w:tcW w:w="988" w:type="dxa"/>
            <w:shd w:val="clear" w:color="auto" w:fill="385623" w:themeFill="accent6" w:themeFillShade="80"/>
          </w:tcPr>
          <w:p w14:paraId="11F5E815" w14:textId="0D77D534" w:rsidR="00FA1A11" w:rsidRPr="00FA1A11" w:rsidRDefault="0005430A" w:rsidP="007A4626">
            <w:pPr>
              <w:rPr>
                <w:b/>
                <w:bCs/>
                <w:color w:val="FFFFFF" w:themeColor="background1"/>
              </w:rPr>
            </w:pPr>
            <w:r w:rsidRPr="00FA1A11">
              <w:rPr>
                <w:b/>
                <w:bCs/>
                <w:color w:val="FFFFFF" w:themeColor="background1"/>
              </w:rPr>
              <w:t>Klokken</w:t>
            </w:r>
          </w:p>
        </w:tc>
        <w:tc>
          <w:tcPr>
            <w:tcW w:w="992" w:type="dxa"/>
            <w:shd w:val="clear" w:color="auto" w:fill="385623" w:themeFill="accent6" w:themeFillShade="80"/>
          </w:tcPr>
          <w:p w14:paraId="21D5387C" w14:textId="77777777" w:rsidR="0005430A" w:rsidRPr="00FA1A11" w:rsidRDefault="0005430A" w:rsidP="007A4626">
            <w:pPr>
              <w:rPr>
                <w:b/>
                <w:bCs/>
                <w:color w:val="FFFFFF" w:themeColor="background1"/>
              </w:rPr>
            </w:pPr>
            <w:r w:rsidRPr="00FA1A11">
              <w:rPr>
                <w:b/>
                <w:bCs/>
                <w:color w:val="FFFFFF" w:themeColor="background1"/>
              </w:rPr>
              <w:t>Tid</w:t>
            </w:r>
          </w:p>
        </w:tc>
        <w:tc>
          <w:tcPr>
            <w:tcW w:w="8089" w:type="dxa"/>
            <w:shd w:val="clear" w:color="auto" w:fill="385623" w:themeFill="accent6" w:themeFillShade="80"/>
          </w:tcPr>
          <w:p w14:paraId="0BE4B222" w14:textId="77777777" w:rsidR="0005430A" w:rsidRPr="00FA1A11" w:rsidRDefault="0005430A" w:rsidP="007A4626">
            <w:pPr>
              <w:rPr>
                <w:b/>
                <w:bCs/>
                <w:color w:val="FFFFFF" w:themeColor="background1"/>
              </w:rPr>
            </w:pPr>
            <w:r w:rsidRPr="00FA1A11">
              <w:rPr>
                <w:b/>
                <w:bCs/>
                <w:color w:val="FFFFFF" w:themeColor="background1"/>
              </w:rPr>
              <w:t>Indhold</w:t>
            </w:r>
          </w:p>
        </w:tc>
        <w:tc>
          <w:tcPr>
            <w:tcW w:w="3357" w:type="dxa"/>
            <w:shd w:val="clear" w:color="auto" w:fill="385623" w:themeFill="accent6" w:themeFillShade="80"/>
          </w:tcPr>
          <w:p w14:paraId="5F9287F5" w14:textId="77777777" w:rsidR="0005430A" w:rsidRPr="00FA1A11" w:rsidRDefault="0005430A" w:rsidP="007A4626">
            <w:pPr>
              <w:rPr>
                <w:b/>
                <w:bCs/>
                <w:color w:val="FFFFFF" w:themeColor="background1"/>
              </w:rPr>
            </w:pPr>
            <w:r w:rsidRPr="00FA1A11">
              <w:rPr>
                <w:b/>
                <w:bCs/>
                <w:color w:val="FFFFFF" w:themeColor="background1"/>
              </w:rPr>
              <w:t>Forberedelse</w:t>
            </w:r>
          </w:p>
        </w:tc>
      </w:tr>
      <w:tr w:rsidR="000C4D04" w:rsidRPr="000C4D04" w14:paraId="15976854" w14:textId="77777777" w:rsidTr="007A4626">
        <w:tc>
          <w:tcPr>
            <w:tcW w:w="988" w:type="dxa"/>
          </w:tcPr>
          <w:p w14:paraId="4C8CADDE" w14:textId="77777777" w:rsidR="0005430A" w:rsidRPr="000C4D04" w:rsidRDefault="0005430A" w:rsidP="007A4626">
            <w:pPr>
              <w:rPr>
                <w:color w:val="385623"/>
              </w:rPr>
            </w:pPr>
          </w:p>
        </w:tc>
        <w:tc>
          <w:tcPr>
            <w:tcW w:w="992" w:type="dxa"/>
          </w:tcPr>
          <w:p w14:paraId="4BF6F9CF" w14:textId="62983325" w:rsidR="0005430A" w:rsidRPr="000C4D04" w:rsidRDefault="009156B4" w:rsidP="007A4626">
            <w:pPr>
              <w:rPr>
                <w:color w:val="385623"/>
              </w:rPr>
            </w:pPr>
            <w:r>
              <w:rPr>
                <w:color w:val="385623"/>
              </w:rPr>
              <w:t>20</w:t>
            </w:r>
            <w:r w:rsidR="0005430A" w:rsidRPr="000C4D04">
              <w:rPr>
                <w:color w:val="385623"/>
              </w:rPr>
              <w:t xml:space="preserve"> min.</w:t>
            </w:r>
          </w:p>
        </w:tc>
        <w:tc>
          <w:tcPr>
            <w:tcW w:w="8089" w:type="dxa"/>
          </w:tcPr>
          <w:p w14:paraId="5CDA6412" w14:textId="77777777" w:rsidR="0005430A" w:rsidRPr="000C4D04" w:rsidRDefault="0005430A" w:rsidP="007A4626">
            <w:pPr>
              <w:rPr>
                <w:b/>
                <w:bCs/>
                <w:color w:val="385623"/>
              </w:rPr>
            </w:pPr>
            <w:r w:rsidRPr="000C4D04">
              <w:rPr>
                <w:b/>
                <w:bCs/>
                <w:color w:val="385623"/>
              </w:rPr>
              <w:t>Introduktion til øvelsen:</w:t>
            </w:r>
          </w:p>
          <w:p w14:paraId="3621BB30" w14:textId="25C160A9" w:rsidR="0005430A" w:rsidRPr="000C4D04" w:rsidRDefault="0005430A" w:rsidP="007A4626">
            <w:pPr>
              <w:rPr>
                <w:color w:val="385623"/>
              </w:rPr>
            </w:pPr>
            <w:r w:rsidRPr="000C4D04">
              <w:rPr>
                <w:color w:val="385623"/>
              </w:rPr>
              <w:t>Forklar, at rådgiverne nu skal lave et rollespil, der handler om relationen mellem rådgiver og bruger</w:t>
            </w:r>
            <w:r w:rsidR="00D0307C">
              <w:rPr>
                <w:color w:val="385623"/>
              </w:rPr>
              <w:t>. H</w:t>
            </w:r>
            <w:r w:rsidR="000C4D04">
              <w:rPr>
                <w:color w:val="385623"/>
              </w:rPr>
              <w:t>vordan den kan gå skævt</w:t>
            </w:r>
            <w:r w:rsidR="00265D7F">
              <w:rPr>
                <w:color w:val="385623"/>
              </w:rPr>
              <w:t>,</w:t>
            </w:r>
            <w:r w:rsidR="000C4D04">
              <w:rPr>
                <w:color w:val="385623"/>
              </w:rPr>
              <w:t xml:space="preserve"> og hvordan man kan arbejde med at rette op på relationen</w:t>
            </w:r>
            <w:r w:rsidRPr="000C4D04">
              <w:rPr>
                <w:color w:val="385623"/>
              </w:rPr>
              <w:t>.</w:t>
            </w:r>
          </w:p>
          <w:p w14:paraId="258FCF51" w14:textId="001A9047" w:rsidR="000C4D04" w:rsidRPr="000C4D04" w:rsidRDefault="000C4D04" w:rsidP="007A4626">
            <w:pPr>
              <w:rPr>
                <w:color w:val="385623"/>
              </w:rPr>
            </w:pPr>
          </w:p>
          <w:p w14:paraId="577B13B4" w14:textId="2E2D0CF7" w:rsidR="0005430A" w:rsidRPr="000C4D04" w:rsidRDefault="00F128C4" w:rsidP="007A4626">
            <w:pPr>
              <w:rPr>
                <w:color w:val="385623"/>
              </w:rPr>
            </w:pPr>
            <w:r>
              <w:rPr>
                <w:color w:val="385623"/>
              </w:rPr>
              <w:t xml:space="preserve">Brug baggrundsviden fra grundbogen </w:t>
            </w:r>
            <w:r w:rsidR="003C5874">
              <w:rPr>
                <w:color w:val="385623"/>
              </w:rPr>
              <w:t xml:space="preserve">og de tilgængelige PowerPoint-slides </w:t>
            </w:r>
            <w:r>
              <w:rPr>
                <w:color w:val="385623"/>
              </w:rPr>
              <w:t>til at give en kort indføring i</w:t>
            </w:r>
            <w:r w:rsidR="0005430A" w:rsidRPr="000C4D04">
              <w:rPr>
                <w:color w:val="385623"/>
              </w:rPr>
              <w:t>:</w:t>
            </w:r>
          </w:p>
          <w:p w14:paraId="27AFCA7E" w14:textId="136978BF" w:rsidR="0005430A" w:rsidRPr="000C4D04" w:rsidRDefault="0005430A" w:rsidP="0005430A">
            <w:pPr>
              <w:pStyle w:val="Listeafsnit"/>
              <w:numPr>
                <w:ilvl w:val="1"/>
                <w:numId w:val="1"/>
              </w:numPr>
              <w:rPr>
                <w:color w:val="385623"/>
              </w:rPr>
            </w:pPr>
            <w:r w:rsidRPr="000C4D04">
              <w:rPr>
                <w:color w:val="385623"/>
              </w:rPr>
              <w:t>Dynamikken i offertrekanten</w:t>
            </w:r>
            <w:r w:rsidR="00C02CF5">
              <w:rPr>
                <w:color w:val="385623"/>
              </w:rPr>
              <w:t xml:space="preserve"> (s. </w:t>
            </w:r>
            <w:r w:rsidR="003B5A30">
              <w:rPr>
                <w:color w:val="385623"/>
              </w:rPr>
              <w:t>166-169)</w:t>
            </w:r>
          </w:p>
          <w:p w14:paraId="1DF7FF0B" w14:textId="77777777" w:rsidR="0005430A" w:rsidRPr="000C4D04" w:rsidRDefault="0005430A" w:rsidP="0005430A">
            <w:pPr>
              <w:pStyle w:val="Listeafsnit"/>
              <w:numPr>
                <w:ilvl w:val="1"/>
                <w:numId w:val="1"/>
              </w:numPr>
              <w:rPr>
                <w:color w:val="385623"/>
              </w:rPr>
            </w:pPr>
            <w:r w:rsidRPr="000C4D04">
              <w:rPr>
                <w:color w:val="385623"/>
              </w:rPr>
              <w:t>Domæneteori</w:t>
            </w:r>
          </w:p>
          <w:p w14:paraId="02D912B4" w14:textId="27CB04F4" w:rsidR="002520C5" w:rsidRDefault="0005430A" w:rsidP="0005430A">
            <w:pPr>
              <w:pStyle w:val="Listeafsnit"/>
              <w:numPr>
                <w:ilvl w:val="1"/>
                <w:numId w:val="1"/>
              </w:numPr>
              <w:rPr>
                <w:color w:val="385623"/>
              </w:rPr>
            </w:pPr>
            <w:r w:rsidRPr="000C4D04">
              <w:rPr>
                <w:color w:val="385623"/>
              </w:rPr>
              <w:t>Metakommunikation</w:t>
            </w:r>
            <w:r w:rsidR="003B5A30">
              <w:rPr>
                <w:color w:val="385623"/>
              </w:rPr>
              <w:t xml:space="preserve"> (s. 49-56)</w:t>
            </w:r>
          </w:p>
          <w:p w14:paraId="4E001679" w14:textId="289E9083" w:rsidR="0005430A" w:rsidRDefault="002520C5" w:rsidP="0005430A">
            <w:pPr>
              <w:pStyle w:val="Listeafsnit"/>
              <w:numPr>
                <w:ilvl w:val="1"/>
                <w:numId w:val="1"/>
              </w:numPr>
              <w:rPr>
                <w:color w:val="385623"/>
              </w:rPr>
            </w:pPr>
            <w:r>
              <w:rPr>
                <w:color w:val="385623"/>
              </w:rPr>
              <w:t>Magt</w:t>
            </w:r>
            <w:r w:rsidR="0041490B">
              <w:rPr>
                <w:color w:val="385623"/>
              </w:rPr>
              <w:t>en i samtalen</w:t>
            </w:r>
            <w:r w:rsidR="0005430A" w:rsidRPr="000C4D04">
              <w:rPr>
                <w:color w:val="385623"/>
              </w:rPr>
              <w:t xml:space="preserve"> </w:t>
            </w:r>
            <w:r w:rsidR="003B5A30">
              <w:rPr>
                <w:color w:val="385623"/>
              </w:rPr>
              <w:t xml:space="preserve">(s. </w:t>
            </w:r>
            <w:r w:rsidR="00672BBC">
              <w:rPr>
                <w:color w:val="385623"/>
              </w:rPr>
              <w:t>65-69)</w:t>
            </w:r>
          </w:p>
          <w:p w14:paraId="01182C80" w14:textId="77777777" w:rsidR="00CB352A" w:rsidRDefault="00CB352A" w:rsidP="00CB352A">
            <w:pPr>
              <w:rPr>
                <w:color w:val="385623"/>
              </w:rPr>
            </w:pPr>
          </w:p>
          <w:p w14:paraId="145FF0AE" w14:textId="219B018E" w:rsidR="0005430A" w:rsidRDefault="00472A30" w:rsidP="00CB352A">
            <w:pPr>
              <w:rPr>
                <w:color w:val="385623"/>
              </w:rPr>
            </w:pPr>
            <w:r>
              <w:rPr>
                <w:color w:val="385623"/>
              </w:rPr>
              <w:t xml:space="preserve">Fortæl, at </w:t>
            </w:r>
            <w:r w:rsidR="00E4787B">
              <w:rPr>
                <w:color w:val="385623"/>
              </w:rPr>
              <w:t>rådgiverne</w:t>
            </w:r>
            <w:r>
              <w:rPr>
                <w:color w:val="385623"/>
              </w:rPr>
              <w:t xml:space="preserve"> nu skal lave et rollespil</w:t>
            </w:r>
            <w:r w:rsidR="009156B4">
              <w:rPr>
                <w:color w:val="385623"/>
              </w:rPr>
              <w:t>. Rollespillet</w:t>
            </w:r>
            <w:r w:rsidR="00751978">
              <w:rPr>
                <w:color w:val="385623"/>
              </w:rPr>
              <w:t xml:space="preserve"> skal fungere som udgangspunkt for en</w:t>
            </w:r>
            <w:r w:rsidR="00554BF2">
              <w:rPr>
                <w:color w:val="385623"/>
              </w:rPr>
              <w:t xml:space="preserve"> efterfølgende </w:t>
            </w:r>
            <w:r w:rsidR="00751978">
              <w:rPr>
                <w:color w:val="385623"/>
              </w:rPr>
              <w:t>gruppedrøftelse</w:t>
            </w:r>
            <w:r>
              <w:rPr>
                <w:color w:val="385623"/>
              </w:rPr>
              <w:t>. Understreg</w:t>
            </w:r>
            <w:r w:rsidR="00751978">
              <w:rPr>
                <w:color w:val="385623"/>
              </w:rPr>
              <w:t xml:space="preserve">, at rådgiverne, som melder sig til rollespillet, </w:t>
            </w:r>
            <w:r w:rsidR="00751978" w:rsidRPr="00751978">
              <w:rPr>
                <w:i/>
                <w:iCs/>
                <w:color w:val="385623"/>
              </w:rPr>
              <w:t>ikke</w:t>
            </w:r>
            <w:r w:rsidR="00751978">
              <w:rPr>
                <w:i/>
                <w:iCs/>
                <w:color w:val="385623"/>
              </w:rPr>
              <w:t xml:space="preserve"> </w:t>
            </w:r>
            <w:r w:rsidR="009156B4" w:rsidRPr="009156B4">
              <w:rPr>
                <w:color w:val="385623"/>
              </w:rPr>
              <w:t>vil</w:t>
            </w:r>
            <w:r w:rsidR="009156B4">
              <w:rPr>
                <w:color w:val="385623"/>
              </w:rPr>
              <w:t xml:space="preserve"> komme til at rådgive og agere, som de normalt </w:t>
            </w:r>
            <w:r w:rsidR="00554BF2">
              <w:rPr>
                <w:color w:val="385623"/>
              </w:rPr>
              <w:t>gør i deres rådgivningspraksis. De får tildelt en rolle, som de skal udfylde</w:t>
            </w:r>
            <w:r w:rsidR="008368BF">
              <w:rPr>
                <w:color w:val="385623"/>
              </w:rPr>
              <w:t>.</w:t>
            </w:r>
          </w:p>
          <w:p w14:paraId="5A7251A5" w14:textId="77777777" w:rsidR="002E4830" w:rsidRDefault="002E4830" w:rsidP="00CB352A">
            <w:pPr>
              <w:rPr>
                <w:color w:val="385623"/>
              </w:rPr>
            </w:pPr>
          </w:p>
          <w:p w14:paraId="66E0CB6B" w14:textId="22F267DA" w:rsidR="002E4830" w:rsidRDefault="002E4830" w:rsidP="00CB352A">
            <w:pPr>
              <w:rPr>
                <w:color w:val="385623"/>
              </w:rPr>
            </w:pPr>
            <w:r>
              <w:rPr>
                <w:color w:val="385623"/>
              </w:rPr>
              <w:t>De, som ikke er en del af rollespillet, skal lytte</w:t>
            </w:r>
            <w:r w:rsidR="00B52C78">
              <w:rPr>
                <w:color w:val="385623"/>
              </w:rPr>
              <w:t xml:space="preserve"> og særligt lægge mærke til</w:t>
            </w:r>
            <w:r w:rsidR="00817AB5">
              <w:rPr>
                <w:color w:val="385623"/>
              </w:rPr>
              <w:t xml:space="preserve"> om offertrekanten, domæneteori, metakommunikation eller </w:t>
            </w:r>
            <w:r w:rsidR="00A23D7E">
              <w:rPr>
                <w:color w:val="385623"/>
              </w:rPr>
              <w:t xml:space="preserve">et blik for </w:t>
            </w:r>
            <w:r w:rsidR="00817AB5">
              <w:rPr>
                <w:color w:val="385623"/>
              </w:rPr>
              <w:t>magt</w:t>
            </w:r>
            <w:r w:rsidR="00A23D7E">
              <w:rPr>
                <w:color w:val="385623"/>
              </w:rPr>
              <w:t xml:space="preserve"> kan være med til at forklare, hvad der sker</w:t>
            </w:r>
            <w:r w:rsidR="003957C4">
              <w:rPr>
                <w:color w:val="385623"/>
              </w:rPr>
              <w:t xml:space="preserve"> </w:t>
            </w:r>
            <w:r w:rsidR="00E945B3">
              <w:rPr>
                <w:color w:val="385623"/>
              </w:rPr>
              <w:t>i samtalen</w:t>
            </w:r>
            <w:r w:rsidR="00A23D7E">
              <w:rPr>
                <w:color w:val="385623"/>
              </w:rPr>
              <w:t xml:space="preserve">. </w:t>
            </w:r>
            <w:r w:rsidR="00E945B3">
              <w:rPr>
                <w:color w:val="385623"/>
              </w:rPr>
              <w:t>Alle deltagerne får udleveret handout med oversigt over det, du har gennemgået.</w:t>
            </w:r>
          </w:p>
          <w:p w14:paraId="746AF2C0" w14:textId="01BB956C" w:rsidR="00554BF2" w:rsidRPr="009156B4" w:rsidRDefault="00554BF2" w:rsidP="00CB352A">
            <w:pPr>
              <w:rPr>
                <w:color w:val="385623"/>
              </w:rPr>
            </w:pPr>
          </w:p>
        </w:tc>
        <w:tc>
          <w:tcPr>
            <w:tcW w:w="3357" w:type="dxa"/>
          </w:tcPr>
          <w:p w14:paraId="5BA8FF88" w14:textId="191EEF56" w:rsidR="0005430A" w:rsidRDefault="006315E1" w:rsidP="007A4626">
            <w:pPr>
              <w:rPr>
                <w:color w:val="385623"/>
              </w:rPr>
            </w:pPr>
            <w:r>
              <w:rPr>
                <w:color w:val="385623"/>
              </w:rPr>
              <w:t>Gør klar til at kunne vise slides i PowerPoint.</w:t>
            </w:r>
          </w:p>
          <w:p w14:paraId="64E045E6" w14:textId="77777777" w:rsidR="00A23D7E" w:rsidRDefault="00A23D7E" w:rsidP="007A4626">
            <w:pPr>
              <w:rPr>
                <w:color w:val="385623"/>
              </w:rPr>
            </w:pPr>
          </w:p>
          <w:p w14:paraId="448480EA" w14:textId="77777777" w:rsidR="00A23D7E" w:rsidRDefault="00A23D7E" w:rsidP="007A4626">
            <w:pPr>
              <w:rPr>
                <w:color w:val="385623"/>
              </w:rPr>
            </w:pPr>
          </w:p>
          <w:p w14:paraId="35CBA4A9" w14:textId="77777777" w:rsidR="00A23D7E" w:rsidRDefault="00A23D7E" w:rsidP="007A4626">
            <w:pPr>
              <w:rPr>
                <w:color w:val="385623"/>
              </w:rPr>
            </w:pPr>
          </w:p>
          <w:p w14:paraId="141866C8" w14:textId="77777777" w:rsidR="00A23D7E" w:rsidRDefault="00A23D7E" w:rsidP="007A4626">
            <w:pPr>
              <w:rPr>
                <w:color w:val="385623"/>
              </w:rPr>
            </w:pPr>
          </w:p>
          <w:p w14:paraId="3511AAB2" w14:textId="77777777" w:rsidR="00A23D7E" w:rsidRDefault="00A23D7E" w:rsidP="007A4626">
            <w:pPr>
              <w:rPr>
                <w:color w:val="385623"/>
              </w:rPr>
            </w:pPr>
          </w:p>
          <w:p w14:paraId="5F6A696F" w14:textId="77777777" w:rsidR="00A23D7E" w:rsidRDefault="00A23D7E" w:rsidP="007A4626">
            <w:pPr>
              <w:rPr>
                <w:color w:val="385623"/>
              </w:rPr>
            </w:pPr>
          </w:p>
          <w:p w14:paraId="282B5AF3" w14:textId="77777777" w:rsidR="00A23D7E" w:rsidRDefault="00A23D7E" w:rsidP="007A4626">
            <w:pPr>
              <w:rPr>
                <w:color w:val="385623"/>
              </w:rPr>
            </w:pPr>
          </w:p>
          <w:p w14:paraId="7A9C7052" w14:textId="77777777" w:rsidR="00A23D7E" w:rsidRDefault="00A23D7E" w:rsidP="007A4626">
            <w:pPr>
              <w:rPr>
                <w:color w:val="385623"/>
              </w:rPr>
            </w:pPr>
          </w:p>
          <w:p w14:paraId="07E1B545" w14:textId="77777777" w:rsidR="00A23D7E" w:rsidRDefault="00A23D7E" w:rsidP="007A4626">
            <w:pPr>
              <w:rPr>
                <w:color w:val="385623"/>
              </w:rPr>
            </w:pPr>
          </w:p>
          <w:p w14:paraId="397BA033" w14:textId="77777777" w:rsidR="00A23D7E" w:rsidRDefault="00A23D7E" w:rsidP="007A4626">
            <w:pPr>
              <w:rPr>
                <w:color w:val="385623"/>
              </w:rPr>
            </w:pPr>
          </w:p>
          <w:p w14:paraId="403B32CF" w14:textId="77777777" w:rsidR="00A23D7E" w:rsidRDefault="00A23D7E" w:rsidP="007A4626">
            <w:pPr>
              <w:rPr>
                <w:color w:val="385623"/>
              </w:rPr>
            </w:pPr>
          </w:p>
          <w:p w14:paraId="6BD32971" w14:textId="77777777" w:rsidR="00A23D7E" w:rsidRDefault="00A23D7E" w:rsidP="007A4626">
            <w:pPr>
              <w:rPr>
                <w:color w:val="385623"/>
              </w:rPr>
            </w:pPr>
          </w:p>
          <w:p w14:paraId="0AD9DADD" w14:textId="77777777" w:rsidR="00A23D7E" w:rsidRDefault="00A23D7E" w:rsidP="007A4626">
            <w:pPr>
              <w:rPr>
                <w:color w:val="385623"/>
              </w:rPr>
            </w:pPr>
          </w:p>
          <w:p w14:paraId="4B206700" w14:textId="77777777" w:rsidR="00A23D7E" w:rsidRDefault="00A23D7E" w:rsidP="007A4626">
            <w:pPr>
              <w:rPr>
                <w:color w:val="385623"/>
              </w:rPr>
            </w:pPr>
          </w:p>
          <w:p w14:paraId="1858DFFB" w14:textId="77777777" w:rsidR="00A23D7E" w:rsidRDefault="00A23D7E" w:rsidP="007A4626">
            <w:pPr>
              <w:rPr>
                <w:color w:val="385623"/>
              </w:rPr>
            </w:pPr>
          </w:p>
          <w:p w14:paraId="45EFA4F0" w14:textId="0C4315F2" w:rsidR="00A23D7E" w:rsidRPr="000C4D04" w:rsidRDefault="00A23D7E" w:rsidP="007A4626">
            <w:pPr>
              <w:rPr>
                <w:color w:val="385623"/>
              </w:rPr>
            </w:pPr>
            <w:r>
              <w:rPr>
                <w:color w:val="385623"/>
              </w:rPr>
              <w:t xml:space="preserve">Print handout med </w:t>
            </w:r>
            <w:r w:rsidR="004B19B9">
              <w:rPr>
                <w:color w:val="385623"/>
              </w:rPr>
              <w:t>de fire redskaber</w:t>
            </w:r>
            <w:r w:rsidR="00BB3342">
              <w:rPr>
                <w:color w:val="385623"/>
              </w:rPr>
              <w:t xml:space="preserve"> eller begreber, du har præsenteret</w:t>
            </w:r>
            <w:r w:rsidR="004B19B9">
              <w:rPr>
                <w:color w:val="385623"/>
              </w:rPr>
              <w:t>.</w:t>
            </w:r>
          </w:p>
        </w:tc>
      </w:tr>
      <w:tr w:rsidR="000C4D04" w:rsidRPr="000C4D04" w14:paraId="7BDB6244" w14:textId="77777777" w:rsidTr="007A4626">
        <w:tc>
          <w:tcPr>
            <w:tcW w:w="988" w:type="dxa"/>
          </w:tcPr>
          <w:p w14:paraId="6C8A0986" w14:textId="77777777" w:rsidR="0005430A" w:rsidRPr="000C4D04" w:rsidRDefault="0005430A" w:rsidP="007A4626">
            <w:pPr>
              <w:rPr>
                <w:color w:val="385623"/>
              </w:rPr>
            </w:pPr>
          </w:p>
        </w:tc>
        <w:tc>
          <w:tcPr>
            <w:tcW w:w="992" w:type="dxa"/>
          </w:tcPr>
          <w:p w14:paraId="069C3D90" w14:textId="77777777" w:rsidR="0005430A" w:rsidRPr="000C4D04" w:rsidRDefault="0005430A" w:rsidP="007A4626">
            <w:pPr>
              <w:rPr>
                <w:color w:val="385623"/>
              </w:rPr>
            </w:pPr>
            <w:r w:rsidRPr="000C4D04">
              <w:rPr>
                <w:color w:val="385623"/>
              </w:rPr>
              <w:t>20 min.</w:t>
            </w:r>
          </w:p>
        </w:tc>
        <w:tc>
          <w:tcPr>
            <w:tcW w:w="8089" w:type="dxa"/>
          </w:tcPr>
          <w:p w14:paraId="32F275BC" w14:textId="77777777" w:rsidR="0005430A" w:rsidRPr="000C4D04" w:rsidRDefault="0005430A" w:rsidP="007A4626">
            <w:pPr>
              <w:rPr>
                <w:b/>
                <w:bCs/>
                <w:color w:val="385623"/>
              </w:rPr>
            </w:pPr>
            <w:r w:rsidRPr="000C4D04">
              <w:rPr>
                <w:b/>
                <w:bCs/>
                <w:color w:val="385623"/>
              </w:rPr>
              <w:t>Rollespil i plenum – første runde:</w:t>
            </w:r>
          </w:p>
          <w:p w14:paraId="1A9B7E86" w14:textId="108A0419" w:rsidR="0005430A" w:rsidRPr="000C4D04" w:rsidRDefault="0005430A" w:rsidP="007A4626">
            <w:pPr>
              <w:rPr>
                <w:color w:val="385623"/>
              </w:rPr>
            </w:pPr>
            <w:r w:rsidRPr="000C4D04">
              <w:rPr>
                <w:color w:val="385623"/>
              </w:rPr>
              <w:t xml:space="preserve">Bed to rådgivere om at melde sig til et rollespil. Giv dem hver sit handout </w:t>
            </w:r>
            <w:r w:rsidR="00351DB0">
              <w:rPr>
                <w:color w:val="385623"/>
              </w:rPr>
              <w:t>(</w:t>
            </w:r>
            <w:r w:rsidRPr="000C4D04">
              <w:rPr>
                <w:color w:val="385623"/>
              </w:rPr>
              <w:t xml:space="preserve">et til </w:t>
            </w:r>
            <w:r w:rsidR="00CB352A">
              <w:rPr>
                <w:color w:val="385623"/>
              </w:rPr>
              <w:t>”</w:t>
            </w:r>
            <w:r w:rsidRPr="000C4D04">
              <w:rPr>
                <w:color w:val="385623"/>
              </w:rPr>
              <w:t>brugeren</w:t>
            </w:r>
            <w:r w:rsidR="00CB352A">
              <w:rPr>
                <w:color w:val="385623"/>
              </w:rPr>
              <w:t>”</w:t>
            </w:r>
            <w:r w:rsidRPr="000C4D04">
              <w:rPr>
                <w:color w:val="385623"/>
              </w:rPr>
              <w:t xml:space="preserve"> og et til </w:t>
            </w:r>
            <w:r w:rsidR="00CB352A">
              <w:rPr>
                <w:color w:val="385623"/>
              </w:rPr>
              <w:t>”</w:t>
            </w:r>
            <w:r w:rsidRPr="000C4D04">
              <w:rPr>
                <w:color w:val="385623"/>
              </w:rPr>
              <w:t>rådgiveren</w:t>
            </w:r>
            <w:r w:rsidR="00CB352A">
              <w:rPr>
                <w:color w:val="385623"/>
              </w:rPr>
              <w:t>”</w:t>
            </w:r>
            <w:r w:rsidR="00351DB0">
              <w:rPr>
                <w:color w:val="385623"/>
              </w:rPr>
              <w:t>)</w:t>
            </w:r>
            <w:r w:rsidRPr="000C4D04">
              <w:rPr>
                <w:color w:val="385623"/>
              </w:rPr>
              <w:t xml:space="preserve"> og </w:t>
            </w:r>
            <w:r w:rsidR="008368BF">
              <w:rPr>
                <w:color w:val="385623"/>
              </w:rPr>
              <w:t>3</w:t>
            </w:r>
            <w:r w:rsidRPr="000C4D04">
              <w:rPr>
                <w:color w:val="385623"/>
              </w:rPr>
              <w:t xml:space="preserve"> minutter til at læse deres rolle igennem. </w:t>
            </w:r>
          </w:p>
          <w:p w14:paraId="5A518A42" w14:textId="77777777" w:rsidR="0005430A" w:rsidRPr="000C4D04" w:rsidRDefault="0005430A" w:rsidP="007A4626">
            <w:pPr>
              <w:rPr>
                <w:color w:val="385623"/>
              </w:rPr>
            </w:pPr>
          </w:p>
          <w:p w14:paraId="0531ECEF" w14:textId="0C270ACB" w:rsidR="0005430A" w:rsidRPr="000C4D04" w:rsidRDefault="00C6664B" w:rsidP="007A4626">
            <w:pPr>
              <w:rPr>
                <w:color w:val="385623"/>
              </w:rPr>
            </w:pPr>
            <w:r>
              <w:rPr>
                <w:color w:val="385623"/>
              </w:rPr>
              <w:lastRenderedPageBreak/>
              <w:t>”Rådgiver” og ”bruger” sætter sig med ryggen til hinanden, og r</w:t>
            </w:r>
            <w:r w:rsidR="0005430A" w:rsidRPr="000C4D04">
              <w:rPr>
                <w:color w:val="385623"/>
              </w:rPr>
              <w:t xml:space="preserve">ollespillet gennemføres. Lad det køre i 5 minutter. </w:t>
            </w:r>
          </w:p>
          <w:p w14:paraId="675B2FF7" w14:textId="77777777" w:rsidR="0005430A" w:rsidRPr="000C4D04" w:rsidRDefault="0005430A" w:rsidP="007A4626">
            <w:pPr>
              <w:rPr>
                <w:color w:val="385623"/>
              </w:rPr>
            </w:pPr>
          </w:p>
          <w:p w14:paraId="304BF7D7" w14:textId="7C42AFA6" w:rsidR="0005430A" w:rsidRPr="000C4D04" w:rsidRDefault="0005430A" w:rsidP="007A4626">
            <w:pPr>
              <w:rPr>
                <w:color w:val="385623"/>
              </w:rPr>
            </w:pPr>
            <w:r w:rsidRPr="000C4D04">
              <w:rPr>
                <w:color w:val="385623"/>
              </w:rPr>
              <w:t xml:space="preserve">Bed de to deltagere i rollespillet om at beskrive, hvordan det føles, når man prøver at hjælpe, men bliver skældt ud, og hvordan de oplevede, at det føltes at håndtere det på den måde, de </w:t>
            </w:r>
            <w:r w:rsidR="00D12104">
              <w:rPr>
                <w:color w:val="385623"/>
              </w:rPr>
              <w:t>skulle</w:t>
            </w:r>
            <w:r w:rsidRPr="000C4D04">
              <w:rPr>
                <w:color w:val="385623"/>
              </w:rPr>
              <w:t xml:space="preserve"> i rollespillet.</w:t>
            </w:r>
          </w:p>
          <w:p w14:paraId="6D6FB62A" w14:textId="77777777" w:rsidR="0005430A" w:rsidRPr="000C4D04" w:rsidRDefault="0005430A" w:rsidP="007A4626">
            <w:pPr>
              <w:rPr>
                <w:color w:val="385623"/>
              </w:rPr>
            </w:pPr>
          </w:p>
        </w:tc>
        <w:tc>
          <w:tcPr>
            <w:tcW w:w="3357" w:type="dxa"/>
          </w:tcPr>
          <w:p w14:paraId="71AC58E6" w14:textId="0489E211" w:rsidR="0005430A" w:rsidRPr="000C4D04" w:rsidRDefault="00E945B3" w:rsidP="007A4626">
            <w:pPr>
              <w:rPr>
                <w:color w:val="385623"/>
              </w:rPr>
            </w:pPr>
            <w:r>
              <w:rPr>
                <w:color w:val="385623"/>
              </w:rPr>
              <w:lastRenderedPageBreak/>
              <w:t>Print handout til ”bruger” og ”rådgiver”</w:t>
            </w:r>
          </w:p>
        </w:tc>
      </w:tr>
      <w:tr w:rsidR="000C4D04" w:rsidRPr="000C4D04" w14:paraId="64DCF1AB" w14:textId="77777777" w:rsidTr="007A4626">
        <w:tc>
          <w:tcPr>
            <w:tcW w:w="988" w:type="dxa"/>
          </w:tcPr>
          <w:p w14:paraId="2A55CE81" w14:textId="77777777" w:rsidR="0005430A" w:rsidRPr="000C4D04" w:rsidRDefault="0005430A" w:rsidP="007A4626">
            <w:pPr>
              <w:rPr>
                <w:color w:val="385623"/>
              </w:rPr>
            </w:pPr>
          </w:p>
        </w:tc>
        <w:tc>
          <w:tcPr>
            <w:tcW w:w="992" w:type="dxa"/>
          </w:tcPr>
          <w:p w14:paraId="38DFF1D2" w14:textId="64BA3836" w:rsidR="0005430A" w:rsidRPr="000C4D04" w:rsidRDefault="0005430A" w:rsidP="007A4626">
            <w:pPr>
              <w:rPr>
                <w:color w:val="385623"/>
              </w:rPr>
            </w:pPr>
            <w:r w:rsidRPr="000C4D04">
              <w:rPr>
                <w:color w:val="385623"/>
              </w:rPr>
              <w:t>1</w:t>
            </w:r>
            <w:r w:rsidR="00AF3870">
              <w:rPr>
                <w:color w:val="385623"/>
              </w:rPr>
              <w:t>5</w:t>
            </w:r>
            <w:r w:rsidRPr="000C4D04">
              <w:rPr>
                <w:color w:val="385623"/>
              </w:rPr>
              <w:t xml:space="preserve"> min.</w:t>
            </w:r>
          </w:p>
        </w:tc>
        <w:tc>
          <w:tcPr>
            <w:tcW w:w="8089" w:type="dxa"/>
          </w:tcPr>
          <w:p w14:paraId="024CDFA8" w14:textId="77777777" w:rsidR="0005430A" w:rsidRPr="000C4D04" w:rsidRDefault="0005430A" w:rsidP="007A4626">
            <w:pPr>
              <w:rPr>
                <w:b/>
                <w:bCs/>
                <w:color w:val="385623"/>
              </w:rPr>
            </w:pPr>
            <w:r w:rsidRPr="000C4D04">
              <w:rPr>
                <w:b/>
                <w:bCs/>
                <w:color w:val="385623"/>
              </w:rPr>
              <w:t>Gruppedrøftelse:</w:t>
            </w:r>
          </w:p>
          <w:p w14:paraId="5A2CE5C1" w14:textId="6E4FA44C" w:rsidR="0005430A" w:rsidRPr="000C4D04" w:rsidRDefault="0005430A" w:rsidP="007A4626">
            <w:pPr>
              <w:rPr>
                <w:color w:val="385623"/>
              </w:rPr>
            </w:pPr>
            <w:r w:rsidRPr="000C4D04">
              <w:rPr>
                <w:color w:val="385623"/>
              </w:rPr>
              <w:t>Del rådgivern</w:t>
            </w:r>
            <w:r w:rsidR="0033766A">
              <w:rPr>
                <w:color w:val="385623"/>
              </w:rPr>
              <w:t>e</w:t>
            </w:r>
            <w:r w:rsidRPr="000C4D04">
              <w:rPr>
                <w:color w:val="385623"/>
              </w:rPr>
              <w:t xml:space="preserve"> op i grupper på 2-4 personer og bed dem om at diskutere, hvordan rådgiveren i rollespillet kunne have brudt den uheldige dynamik, som opstod imellem de to, og som førte til, at brugeren blev vred. </w:t>
            </w:r>
          </w:p>
          <w:p w14:paraId="07770006" w14:textId="77777777" w:rsidR="0005430A" w:rsidRPr="000C4D04" w:rsidRDefault="0005430A" w:rsidP="007A4626">
            <w:pPr>
              <w:rPr>
                <w:color w:val="385623"/>
              </w:rPr>
            </w:pPr>
          </w:p>
          <w:p w14:paraId="7B48A7AA" w14:textId="13E9E643" w:rsidR="0005430A" w:rsidRPr="000C4D04" w:rsidRDefault="0005430A" w:rsidP="007A4626">
            <w:pPr>
              <w:rPr>
                <w:color w:val="385623"/>
              </w:rPr>
            </w:pPr>
            <w:r w:rsidRPr="000C4D04">
              <w:rPr>
                <w:color w:val="385623"/>
              </w:rPr>
              <w:t>Fortæl, at rådgiverne kan lade sig inspirere af din præsentation af offertrekanten, domæneteori</w:t>
            </w:r>
            <w:r w:rsidR="00B52C78">
              <w:rPr>
                <w:color w:val="385623"/>
              </w:rPr>
              <w:t>,</w:t>
            </w:r>
            <w:r w:rsidRPr="000C4D04">
              <w:rPr>
                <w:color w:val="385623"/>
              </w:rPr>
              <w:t xml:space="preserve"> metakommunikation</w:t>
            </w:r>
            <w:r w:rsidR="00B52C78">
              <w:rPr>
                <w:color w:val="385623"/>
              </w:rPr>
              <w:t xml:space="preserve"> og magt i samtalen</w:t>
            </w:r>
            <w:r w:rsidRPr="000C4D04">
              <w:rPr>
                <w:color w:val="385623"/>
              </w:rPr>
              <w:t>, men at de selvfølgelig også må inddrage andre analyse- eller kommunikationsredskaber.</w:t>
            </w:r>
          </w:p>
          <w:p w14:paraId="2D551B85" w14:textId="77777777" w:rsidR="0005430A" w:rsidRPr="000C4D04" w:rsidRDefault="0005430A" w:rsidP="007A4626">
            <w:pPr>
              <w:rPr>
                <w:color w:val="385623"/>
              </w:rPr>
            </w:pPr>
          </w:p>
        </w:tc>
        <w:tc>
          <w:tcPr>
            <w:tcW w:w="3357" w:type="dxa"/>
          </w:tcPr>
          <w:p w14:paraId="350D9369" w14:textId="77777777" w:rsidR="0005430A" w:rsidRPr="000C4D04" w:rsidRDefault="0005430A" w:rsidP="007A4626">
            <w:pPr>
              <w:rPr>
                <w:color w:val="385623"/>
              </w:rPr>
            </w:pPr>
          </w:p>
        </w:tc>
      </w:tr>
      <w:tr w:rsidR="000C4D04" w:rsidRPr="000C4D04" w14:paraId="65E3B2B0" w14:textId="77777777" w:rsidTr="007A4626">
        <w:tc>
          <w:tcPr>
            <w:tcW w:w="988" w:type="dxa"/>
          </w:tcPr>
          <w:p w14:paraId="0B3014C0" w14:textId="77777777" w:rsidR="0005430A" w:rsidRPr="000C4D04" w:rsidRDefault="0005430A" w:rsidP="007A4626">
            <w:pPr>
              <w:rPr>
                <w:color w:val="385623"/>
              </w:rPr>
            </w:pPr>
          </w:p>
        </w:tc>
        <w:tc>
          <w:tcPr>
            <w:tcW w:w="992" w:type="dxa"/>
          </w:tcPr>
          <w:p w14:paraId="4E98C53E" w14:textId="77777777" w:rsidR="0005430A" w:rsidRPr="000C4D04" w:rsidRDefault="0005430A" w:rsidP="007A4626">
            <w:pPr>
              <w:rPr>
                <w:color w:val="385623"/>
              </w:rPr>
            </w:pPr>
            <w:r w:rsidRPr="000C4D04">
              <w:rPr>
                <w:color w:val="385623"/>
              </w:rPr>
              <w:t>10 min.</w:t>
            </w:r>
          </w:p>
        </w:tc>
        <w:tc>
          <w:tcPr>
            <w:tcW w:w="8089" w:type="dxa"/>
          </w:tcPr>
          <w:p w14:paraId="55D3BDE7" w14:textId="77777777" w:rsidR="0005430A" w:rsidRPr="000C4D04" w:rsidRDefault="0005430A" w:rsidP="007A4626">
            <w:pPr>
              <w:rPr>
                <w:b/>
                <w:bCs/>
                <w:color w:val="385623"/>
              </w:rPr>
            </w:pPr>
            <w:r w:rsidRPr="000C4D04">
              <w:rPr>
                <w:b/>
                <w:bCs/>
                <w:color w:val="385623"/>
              </w:rPr>
              <w:t>Rollespil i plenum – anden runde:</w:t>
            </w:r>
          </w:p>
          <w:p w14:paraId="372933B7" w14:textId="09339D5A" w:rsidR="0005430A" w:rsidRPr="000C4D04" w:rsidRDefault="0005430A" w:rsidP="007A4626">
            <w:pPr>
              <w:rPr>
                <w:color w:val="385623"/>
              </w:rPr>
            </w:pPr>
            <w:r w:rsidRPr="000C4D04">
              <w:rPr>
                <w:color w:val="385623"/>
              </w:rPr>
              <w:t xml:space="preserve">Bed en ny rådgiver om at melde sig som ”rådgiver” til rollespillet. Bed </w:t>
            </w:r>
            <w:r w:rsidR="0005319C">
              <w:rPr>
                <w:color w:val="385623"/>
              </w:rPr>
              <w:t xml:space="preserve">den nye </w:t>
            </w:r>
            <w:r w:rsidRPr="000C4D04">
              <w:rPr>
                <w:color w:val="385623"/>
              </w:rPr>
              <w:t xml:space="preserve">”rådgiver” og </w:t>
            </w:r>
            <w:r w:rsidR="0005319C">
              <w:rPr>
                <w:color w:val="385623"/>
              </w:rPr>
              <w:t xml:space="preserve">oprindelige </w:t>
            </w:r>
            <w:r w:rsidRPr="000C4D04">
              <w:rPr>
                <w:color w:val="385623"/>
              </w:rPr>
              <w:t xml:space="preserve">”bruger” om at gentage rollespillet, men nu </w:t>
            </w:r>
            <w:r w:rsidR="006A24F7">
              <w:rPr>
                <w:color w:val="385623"/>
              </w:rPr>
              <w:t xml:space="preserve">forsøger </w:t>
            </w:r>
            <w:r w:rsidRPr="000C4D04">
              <w:rPr>
                <w:color w:val="385623"/>
              </w:rPr>
              <w:t xml:space="preserve">”rådgiveren” </w:t>
            </w:r>
            <w:r w:rsidR="006A24F7">
              <w:rPr>
                <w:color w:val="385623"/>
              </w:rPr>
              <w:t xml:space="preserve">at bruge </w:t>
            </w:r>
            <w:r w:rsidRPr="000C4D04">
              <w:rPr>
                <w:color w:val="385623"/>
              </w:rPr>
              <w:t xml:space="preserve">nogle af de greb eller redskaber, som man har talt om i hans eller hendes gruppe for at føre samtalen et </w:t>
            </w:r>
            <w:r w:rsidR="00187570">
              <w:rPr>
                <w:color w:val="385623"/>
              </w:rPr>
              <w:t>andet</w:t>
            </w:r>
            <w:r w:rsidRPr="000C4D04">
              <w:rPr>
                <w:color w:val="385623"/>
              </w:rPr>
              <w:t xml:space="preserve"> sted hen.</w:t>
            </w:r>
          </w:p>
          <w:p w14:paraId="00271759" w14:textId="77777777" w:rsidR="0005430A" w:rsidRDefault="0005430A" w:rsidP="007A4626">
            <w:pPr>
              <w:rPr>
                <w:color w:val="385623"/>
              </w:rPr>
            </w:pPr>
          </w:p>
          <w:p w14:paraId="65A5A78E" w14:textId="1C282B63" w:rsidR="003D69F5" w:rsidRDefault="003D69F5" w:rsidP="007A4626">
            <w:pPr>
              <w:rPr>
                <w:color w:val="385623"/>
              </w:rPr>
            </w:pPr>
            <w:r>
              <w:rPr>
                <w:color w:val="385623"/>
              </w:rPr>
              <w:t>Lad rollespillet køre i 5 minutter</w:t>
            </w:r>
            <w:r w:rsidR="008760FC">
              <w:rPr>
                <w:color w:val="385623"/>
              </w:rPr>
              <w:t>,</w:t>
            </w:r>
            <w:r>
              <w:rPr>
                <w:color w:val="385623"/>
              </w:rPr>
              <w:t xml:space="preserve"> og bed ”rådgiveren” forklare, hvad han eller hun </w:t>
            </w:r>
            <w:r w:rsidR="008760FC">
              <w:rPr>
                <w:color w:val="385623"/>
              </w:rPr>
              <w:t>forsøgt</w:t>
            </w:r>
            <w:r w:rsidR="00187570">
              <w:rPr>
                <w:color w:val="385623"/>
              </w:rPr>
              <w:t>e</w:t>
            </w:r>
            <w:r w:rsidR="008760FC">
              <w:rPr>
                <w:color w:val="385623"/>
              </w:rPr>
              <w:t xml:space="preserve"> at </w:t>
            </w:r>
            <w:r>
              <w:rPr>
                <w:color w:val="385623"/>
              </w:rPr>
              <w:t>g</w:t>
            </w:r>
            <w:r w:rsidR="008760FC">
              <w:rPr>
                <w:color w:val="385623"/>
              </w:rPr>
              <w:t>øre</w:t>
            </w:r>
            <w:r>
              <w:rPr>
                <w:color w:val="385623"/>
              </w:rPr>
              <w:t xml:space="preserve"> anderledes.</w:t>
            </w:r>
          </w:p>
          <w:p w14:paraId="42B1C36E" w14:textId="42056FFA" w:rsidR="003D69F5" w:rsidRPr="000C4D04" w:rsidRDefault="003D69F5" w:rsidP="007A4626">
            <w:pPr>
              <w:rPr>
                <w:color w:val="385623"/>
              </w:rPr>
            </w:pPr>
          </w:p>
        </w:tc>
        <w:tc>
          <w:tcPr>
            <w:tcW w:w="3357" w:type="dxa"/>
          </w:tcPr>
          <w:p w14:paraId="38A32588" w14:textId="77777777" w:rsidR="0005430A" w:rsidRPr="000C4D04" w:rsidRDefault="0005430A" w:rsidP="007A4626">
            <w:pPr>
              <w:rPr>
                <w:color w:val="385623"/>
              </w:rPr>
            </w:pPr>
          </w:p>
        </w:tc>
      </w:tr>
      <w:tr w:rsidR="000C4D04" w:rsidRPr="000C4D04" w14:paraId="6C29AE54" w14:textId="77777777" w:rsidTr="007A4626">
        <w:tc>
          <w:tcPr>
            <w:tcW w:w="988" w:type="dxa"/>
          </w:tcPr>
          <w:p w14:paraId="6B4AF36F" w14:textId="77777777" w:rsidR="0005430A" w:rsidRPr="000C4D04" w:rsidRDefault="0005430A" w:rsidP="007A4626">
            <w:pPr>
              <w:rPr>
                <w:color w:val="385623"/>
              </w:rPr>
            </w:pPr>
          </w:p>
        </w:tc>
        <w:tc>
          <w:tcPr>
            <w:tcW w:w="992" w:type="dxa"/>
          </w:tcPr>
          <w:p w14:paraId="3569DFF0" w14:textId="07A2C0BB" w:rsidR="0005430A" w:rsidRPr="000C4D04" w:rsidRDefault="0005430A" w:rsidP="007A4626">
            <w:pPr>
              <w:rPr>
                <w:color w:val="385623"/>
              </w:rPr>
            </w:pPr>
            <w:r w:rsidRPr="000C4D04">
              <w:rPr>
                <w:color w:val="385623"/>
              </w:rPr>
              <w:t>1</w:t>
            </w:r>
            <w:r w:rsidR="009E588C">
              <w:rPr>
                <w:color w:val="385623"/>
              </w:rPr>
              <w:t>5</w:t>
            </w:r>
            <w:r w:rsidRPr="000C4D04">
              <w:rPr>
                <w:color w:val="385623"/>
              </w:rPr>
              <w:t xml:space="preserve"> min.</w:t>
            </w:r>
          </w:p>
        </w:tc>
        <w:tc>
          <w:tcPr>
            <w:tcW w:w="8089" w:type="dxa"/>
          </w:tcPr>
          <w:p w14:paraId="39C0C258" w14:textId="1F0415A3" w:rsidR="0005430A" w:rsidRPr="000C4D04" w:rsidRDefault="009E588C" w:rsidP="007A4626">
            <w:pPr>
              <w:rPr>
                <w:b/>
                <w:bCs/>
                <w:color w:val="385623"/>
              </w:rPr>
            </w:pPr>
            <w:r w:rsidRPr="000C4D04">
              <w:rPr>
                <w:b/>
                <w:bCs/>
                <w:color w:val="385623"/>
              </w:rPr>
              <w:t>Opsamling i plenum</w:t>
            </w:r>
            <w:r w:rsidR="0005430A" w:rsidRPr="000C4D04">
              <w:rPr>
                <w:b/>
                <w:bCs/>
                <w:color w:val="385623"/>
              </w:rPr>
              <w:t>:</w:t>
            </w:r>
          </w:p>
          <w:p w14:paraId="32EC80BD" w14:textId="6D237AB9" w:rsidR="0005430A" w:rsidRPr="000C4D04" w:rsidRDefault="0005430A" w:rsidP="007A4626">
            <w:pPr>
              <w:rPr>
                <w:color w:val="385623"/>
              </w:rPr>
            </w:pPr>
            <w:r w:rsidRPr="000C4D04">
              <w:rPr>
                <w:color w:val="385623"/>
              </w:rPr>
              <w:t xml:space="preserve">Bed nu </w:t>
            </w:r>
            <w:r w:rsidR="002219E2">
              <w:rPr>
                <w:color w:val="385623"/>
              </w:rPr>
              <w:t xml:space="preserve">alle </w:t>
            </w:r>
            <w:r w:rsidRPr="000C4D04">
              <w:rPr>
                <w:color w:val="385623"/>
              </w:rPr>
              <w:t xml:space="preserve">rådgiverne om </w:t>
            </w:r>
            <w:r w:rsidR="002219E2">
              <w:rPr>
                <w:color w:val="385623"/>
              </w:rPr>
              <w:t xml:space="preserve">at komme med pointer fra deres gruppedrøftelser eller egne </w:t>
            </w:r>
            <w:r w:rsidR="00D5682D">
              <w:rPr>
                <w:color w:val="385623"/>
              </w:rPr>
              <w:t>refleksioner</w:t>
            </w:r>
            <w:r w:rsidR="002219E2">
              <w:rPr>
                <w:color w:val="385623"/>
              </w:rPr>
              <w:t xml:space="preserve"> over, hvordan </w:t>
            </w:r>
            <w:r w:rsidRPr="000C4D04">
              <w:rPr>
                <w:color w:val="385623"/>
              </w:rPr>
              <w:t>offertrekanten, domæneteori</w:t>
            </w:r>
            <w:r w:rsidR="00187570">
              <w:rPr>
                <w:color w:val="385623"/>
              </w:rPr>
              <w:t>,</w:t>
            </w:r>
            <w:r w:rsidRPr="000C4D04">
              <w:rPr>
                <w:color w:val="385623"/>
              </w:rPr>
              <w:t xml:space="preserve"> metakommunikation </w:t>
            </w:r>
            <w:r w:rsidR="00187570">
              <w:rPr>
                <w:color w:val="385623"/>
              </w:rPr>
              <w:t xml:space="preserve">eller et blik for magt </w:t>
            </w:r>
            <w:r w:rsidRPr="000C4D04">
              <w:rPr>
                <w:color w:val="385623"/>
              </w:rPr>
              <w:t>kan gøre os klogere på, hvad der sker i relationen i dagens rollespil</w:t>
            </w:r>
            <w:r w:rsidR="00D5682D">
              <w:rPr>
                <w:color w:val="385623"/>
              </w:rPr>
              <w:t xml:space="preserve"> – og hvordan de kan bruge de pointer i deres </w:t>
            </w:r>
            <w:r w:rsidR="00F62CE6">
              <w:rPr>
                <w:color w:val="385623"/>
              </w:rPr>
              <w:t xml:space="preserve">egen </w:t>
            </w:r>
            <w:r w:rsidR="00D5682D">
              <w:rPr>
                <w:color w:val="385623"/>
              </w:rPr>
              <w:t>praksis</w:t>
            </w:r>
            <w:r w:rsidRPr="000C4D04">
              <w:rPr>
                <w:color w:val="385623"/>
              </w:rPr>
              <w:t>.</w:t>
            </w:r>
          </w:p>
          <w:p w14:paraId="3613932D" w14:textId="77777777" w:rsidR="0005430A" w:rsidRPr="000C4D04" w:rsidRDefault="0005430A" w:rsidP="007A4626">
            <w:pPr>
              <w:rPr>
                <w:color w:val="385623"/>
              </w:rPr>
            </w:pPr>
          </w:p>
        </w:tc>
        <w:tc>
          <w:tcPr>
            <w:tcW w:w="3357" w:type="dxa"/>
          </w:tcPr>
          <w:p w14:paraId="2801E7E3" w14:textId="77777777" w:rsidR="0005430A" w:rsidRPr="000C4D04" w:rsidRDefault="0005430A" w:rsidP="007A4626">
            <w:pPr>
              <w:rPr>
                <w:color w:val="385623"/>
              </w:rPr>
            </w:pPr>
          </w:p>
        </w:tc>
      </w:tr>
    </w:tbl>
    <w:p w14:paraId="0E5BF309" w14:textId="77777777" w:rsidR="004019C0" w:rsidRPr="000C4D04" w:rsidRDefault="004019C0">
      <w:pPr>
        <w:rPr>
          <w:color w:val="385623"/>
        </w:rPr>
      </w:pPr>
    </w:p>
    <w:sectPr w:rsidR="004019C0" w:rsidRPr="000C4D04" w:rsidSect="0005430A">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TWalsheimProBold">
    <w:panose1 w:val="02000503040000020003"/>
    <w:charset w:val="00"/>
    <w:family w:val="auto"/>
    <w:pitch w:val="variable"/>
    <w:sig w:usb0="A00002AF" w:usb1="5000206B" w:usb2="00000000" w:usb3="00000000" w:csb0="00000097" w:csb1="00000000"/>
  </w:font>
  <w:font w:name="WindleshamPro">
    <w:panose1 w:val="02000503000000020003"/>
    <w:charset w:val="00"/>
    <w:family w:val="auto"/>
    <w:pitch w:val="variable"/>
    <w:sig w:usb0="00000007" w:usb1="1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06326"/>
    <w:multiLevelType w:val="hybridMultilevel"/>
    <w:tmpl w:val="B93262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78425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0A"/>
    <w:rsid w:val="0005319C"/>
    <w:rsid w:val="0005430A"/>
    <w:rsid w:val="000C4D04"/>
    <w:rsid w:val="00113D26"/>
    <w:rsid w:val="00187570"/>
    <w:rsid w:val="001A1CA7"/>
    <w:rsid w:val="002219E2"/>
    <w:rsid w:val="002520C5"/>
    <w:rsid w:val="00265D7F"/>
    <w:rsid w:val="002E4830"/>
    <w:rsid w:val="0033766A"/>
    <w:rsid w:val="00351DB0"/>
    <w:rsid w:val="003957C4"/>
    <w:rsid w:val="003B5A30"/>
    <w:rsid w:val="003C5874"/>
    <w:rsid w:val="003D69F5"/>
    <w:rsid w:val="004019C0"/>
    <w:rsid w:val="0041490B"/>
    <w:rsid w:val="00472A30"/>
    <w:rsid w:val="004B19B9"/>
    <w:rsid w:val="00524360"/>
    <w:rsid w:val="00554BF2"/>
    <w:rsid w:val="005648B2"/>
    <w:rsid w:val="006315E1"/>
    <w:rsid w:val="00672BBC"/>
    <w:rsid w:val="006A24F7"/>
    <w:rsid w:val="00751978"/>
    <w:rsid w:val="00817AB5"/>
    <w:rsid w:val="008368BF"/>
    <w:rsid w:val="008760FC"/>
    <w:rsid w:val="0090554E"/>
    <w:rsid w:val="009156B4"/>
    <w:rsid w:val="009E588C"/>
    <w:rsid w:val="00A23D7E"/>
    <w:rsid w:val="00AF3870"/>
    <w:rsid w:val="00B1680A"/>
    <w:rsid w:val="00B52C78"/>
    <w:rsid w:val="00BB3342"/>
    <w:rsid w:val="00C02CF5"/>
    <w:rsid w:val="00C6664B"/>
    <w:rsid w:val="00CB352A"/>
    <w:rsid w:val="00CD7606"/>
    <w:rsid w:val="00D0307C"/>
    <w:rsid w:val="00D12104"/>
    <w:rsid w:val="00D5682D"/>
    <w:rsid w:val="00E31889"/>
    <w:rsid w:val="00E37033"/>
    <w:rsid w:val="00E4787B"/>
    <w:rsid w:val="00E945B3"/>
    <w:rsid w:val="00F128C4"/>
    <w:rsid w:val="00F62CE6"/>
    <w:rsid w:val="00FA1A11"/>
    <w:rsid w:val="00FA7A22"/>
    <w:rsid w:val="00FF07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CEF2"/>
  <w15:chartTrackingRefBased/>
  <w15:docId w15:val="{805C2387-02D2-4AB5-AB39-BF779DC4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30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5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5430A"/>
    <w:pPr>
      <w:ind w:left="720"/>
      <w:contextualSpacing/>
    </w:pPr>
  </w:style>
  <w:style w:type="character" w:styleId="Strk">
    <w:name w:val="Strong"/>
    <w:basedOn w:val="Standardskrifttypeiafsnit"/>
    <w:uiPriority w:val="22"/>
    <w:qFormat/>
    <w:rsid w:val="00FA1A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6071DBE51EB74D8BF531654CB1BB8A" ma:contentTypeVersion="16" ma:contentTypeDescription="Opret et nyt dokument." ma:contentTypeScope="" ma:versionID="035a1e5a0127ec5a953fcf96f331dddb">
  <xsd:schema xmlns:xsd="http://www.w3.org/2001/XMLSchema" xmlns:xs="http://www.w3.org/2001/XMLSchema" xmlns:p="http://schemas.microsoft.com/office/2006/metadata/properties" xmlns:ns2="6a19b182-87f6-4d2a-9ce3-1c7f0df7a088" xmlns:ns3="f196368a-2e87-4b5d-b139-8e170ec078d7" targetNamespace="http://schemas.microsoft.com/office/2006/metadata/properties" ma:root="true" ma:fieldsID="9faff529d4504c306e1a1c7ebbab68f9" ns2:_="" ns3:_="">
    <xsd:import namespace="6a19b182-87f6-4d2a-9ce3-1c7f0df7a088"/>
    <xsd:import namespace="f196368a-2e87-4b5d-b139-8e170ec078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9b182-87f6-4d2a-9ce3-1c7f0df7a0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c7ea742b-a6d4-4aa1-bdc7-70d1d21281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6368a-2e87-4b5d-b139-8e170ec078d7"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c7fb43b-7df2-4a5b-ba18-888e0fc662d9}" ma:internalName="TaxCatchAll" ma:showField="CatchAllData" ma:web="f196368a-2e87-4b5d-b139-8e170ec07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19b182-87f6-4d2a-9ce3-1c7f0df7a088">
      <Terms xmlns="http://schemas.microsoft.com/office/infopath/2007/PartnerControls"/>
    </lcf76f155ced4ddcb4097134ff3c332f>
    <TaxCatchAll xmlns="f196368a-2e87-4b5d-b139-8e170ec078d7" xsi:nil="true"/>
  </documentManagement>
</p:properties>
</file>

<file path=customXml/itemProps1.xml><?xml version="1.0" encoding="utf-8"?>
<ds:datastoreItem xmlns:ds="http://schemas.openxmlformats.org/officeDocument/2006/customXml" ds:itemID="{E4B9FD64-ED59-4E4E-A119-8A41129D5C87}">
  <ds:schemaRefs>
    <ds:schemaRef ds:uri="http://schemas.microsoft.com/sharepoint/v3/contenttype/forms"/>
  </ds:schemaRefs>
</ds:datastoreItem>
</file>

<file path=customXml/itemProps2.xml><?xml version="1.0" encoding="utf-8"?>
<ds:datastoreItem xmlns:ds="http://schemas.openxmlformats.org/officeDocument/2006/customXml" ds:itemID="{7F07CAAC-B51A-45D1-B006-EB6B3B4F1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9b182-87f6-4d2a-9ce3-1c7f0df7a088"/>
    <ds:schemaRef ds:uri="f196368a-2e87-4b5d-b139-8e170ec07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77DD3D-94C0-4E7A-942E-7D824EA8C15D}">
  <ds:schemaRefs>
    <ds:schemaRef ds:uri="http://schemas.microsoft.com/office/2006/metadata/properties"/>
    <ds:schemaRef ds:uri="http://schemas.microsoft.com/office/infopath/2007/PartnerControls"/>
    <ds:schemaRef ds:uri="6a19b182-87f6-4d2a-9ce3-1c7f0df7a088"/>
    <ds:schemaRef ds:uri="f196368a-2e87-4b5d-b139-8e170ec078d7"/>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476</Words>
  <Characters>2905</Characters>
  <Application>Microsoft Office Word</Application>
  <DocSecurity>0</DocSecurity>
  <Lines>24</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Lyndby Christensen</dc:creator>
  <cp:keywords/>
  <dc:description/>
  <cp:lastModifiedBy>Ulla Lyndby Christensen</cp:lastModifiedBy>
  <cp:revision>54</cp:revision>
  <dcterms:created xsi:type="dcterms:W3CDTF">2022-10-01T19:12:00Z</dcterms:created>
  <dcterms:modified xsi:type="dcterms:W3CDTF">2022-11-07T15:04:00Z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0x010100C26071DBE51EB74D8BF531654CB1BB8A</vt:lpwstr>
  </property>
  <property fmtid="{D5CDD505-2E9C-101B-9397-08002B2CF9AE}" pid="3" name="MediaServiceImageTags">
    <vt:lpwstr/>
  </property>
</Properties>
</file>