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8056" w14:textId="46FD311E" w:rsidR="00361A71" w:rsidRPr="001219F6" w:rsidRDefault="00361A71" w:rsidP="00361A71">
      <w:pPr>
        <w:rPr>
          <w:rFonts w:ascii="GTWalsheimProBold" w:hAnsi="GTWalsheimProBold"/>
          <w:sz w:val="32"/>
          <w:szCs w:val="32"/>
        </w:rPr>
      </w:pPr>
      <w:r w:rsidRPr="001219F6">
        <w:rPr>
          <w:rFonts w:ascii="GTWalsheimProBold" w:hAnsi="GTWalsheimProBold"/>
          <w:b/>
          <w:bCs/>
          <w:color w:val="385623" w:themeColor="accent6" w:themeShade="80"/>
          <w:sz w:val="32"/>
          <w:szCs w:val="32"/>
        </w:rPr>
        <w:t xml:space="preserve">Øvelse 6: </w:t>
      </w:r>
      <w:r w:rsidR="00524482">
        <w:rPr>
          <w:rFonts w:ascii="GTWalsheimProBold" w:hAnsi="GTWalsheimProBold"/>
          <w:b/>
          <w:bCs/>
          <w:color w:val="385623" w:themeColor="accent6" w:themeShade="80"/>
          <w:sz w:val="32"/>
          <w:szCs w:val="32"/>
        </w:rPr>
        <w:t>Hvorfor bruger vi metoder i rådgivningen?</w:t>
      </w:r>
      <w:r w:rsidR="001219F6">
        <w:rPr>
          <w:rFonts w:ascii="GTWalsheimProBold" w:hAnsi="GTWalsheimProBold"/>
          <w:sz w:val="32"/>
          <w:szCs w:val="32"/>
        </w:rPr>
        <w:br/>
      </w:r>
      <w:r w:rsidRPr="001219F6">
        <w:rPr>
          <w:rFonts w:ascii="WindleshamPro" w:hAnsi="WindleshamPro"/>
          <w:color w:val="385623" w:themeColor="accent6" w:themeShade="80"/>
          <w:sz w:val="32"/>
          <w:szCs w:val="32"/>
        </w:rPr>
        <w:t xml:space="preserve">Case fra rådgivningen </w:t>
      </w:r>
      <w:r w:rsidR="009538AE" w:rsidRPr="001219F6">
        <w:rPr>
          <w:rFonts w:ascii="WindleshamPro" w:hAnsi="WindleshamPro"/>
          <w:color w:val="385623" w:themeColor="accent6" w:themeShade="80"/>
          <w:sz w:val="32"/>
          <w:szCs w:val="32"/>
        </w:rPr>
        <w:t>TUBA</w:t>
      </w:r>
      <w:r w:rsidR="00A84CFE" w:rsidRPr="001219F6">
        <w:rPr>
          <w:rFonts w:ascii="WindleshamPro" w:hAnsi="WindleshamPro"/>
          <w:color w:val="385623" w:themeColor="accent6" w:themeShade="80"/>
          <w:sz w:val="32"/>
          <w:szCs w:val="32"/>
        </w:rPr>
        <w:t xml:space="preserve"> </w:t>
      </w:r>
      <w:r w:rsidRPr="001219F6">
        <w:rPr>
          <w:rFonts w:ascii="WindleshamPro" w:hAnsi="WindleshamPro"/>
          <w:color w:val="385623" w:themeColor="accent6" w:themeShade="80"/>
          <w:sz w:val="32"/>
          <w:szCs w:val="32"/>
        </w:rPr>
        <w:t>til brug i øvelsen</w:t>
      </w:r>
      <w:r w:rsidR="00190EE6">
        <w:rPr>
          <w:rFonts w:ascii="WindleshamPro" w:hAnsi="WindleshamPro"/>
          <w:color w:val="385623" w:themeColor="accent6" w:themeShade="80"/>
          <w:sz w:val="32"/>
          <w:szCs w:val="32"/>
        </w:rPr>
        <w:t>:</w:t>
      </w:r>
    </w:p>
    <w:p w14:paraId="65FD55DC" w14:textId="77777777" w:rsidR="00F049F5" w:rsidRPr="001219F6" w:rsidRDefault="00361A71" w:rsidP="009538AE">
      <w:pPr>
        <w:rPr>
          <w:rFonts w:ascii="WindleshamPro" w:hAnsi="WindleshamPro"/>
          <w:i/>
          <w:iCs/>
          <w:color w:val="385623" w:themeColor="accent6" w:themeShade="80"/>
        </w:rPr>
      </w:pPr>
      <w:r w:rsidRPr="001219F6">
        <w:rPr>
          <w:rFonts w:ascii="WindleshamPro" w:hAnsi="WindleshamPro"/>
          <w:i/>
          <w:iCs/>
          <w:color w:val="385623" w:themeColor="accent6" w:themeShade="80"/>
        </w:rPr>
        <w:t>”</w:t>
      </w:r>
      <w:r w:rsidR="009538AE" w:rsidRPr="001219F6">
        <w:rPr>
          <w:rFonts w:ascii="WindleshamPro" w:hAnsi="WindleshamPro"/>
          <w:i/>
          <w:iCs/>
          <w:color w:val="385623" w:themeColor="accent6" w:themeShade="80"/>
        </w:rPr>
        <w:t xml:space="preserve">Jeg blev skilt for mange år siden fra mine børns far - delvis på grund af alkohol. I årene der er gået, har det været et konstant stress-element, og da han på mange måder er en god far, har jeg kæmpet for at vedligeholde den bedste relation. Min dreng er nu 19 og taler åbent om sin fars alkoholproblem, samt deres papmors. </w:t>
      </w:r>
    </w:p>
    <w:p w14:paraId="1C6D7FB8" w14:textId="677D92DF" w:rsidR="009538AE" w:rsidRPr="001219F6" w:rsidRDefault="009538AE" w:rsidP="009538AE">
      <w:pPr>
        <w:rPr>
          <w:rFonts w:ascii="WindleshamPro" w:hAnsi="WindleshamPro"/>
          <w:i/>
          <w:iCs/>
          <w:color w:val="385623" w:themeColor="accent6" w:themeShade="80"/>
        </w:rPr>
      </w:pPr>
      <w:r w:rsidRPr="001219F6">
        <w:rPr>
          <w:rFonts w:ascii="WindleshamPro" w:hAnsi="WindleshamPro"/>
          <w:i/>
          <w:iCs/>
          <w:color w:val="385623" w:themeColor="accent6" w:themeShade="80"/>
        </w:rPr>
        <w:t>Min eksmand har mange gange lovet mig</w:t>
      </w:r>
      <w:r w:rsidR="008A208F" w:rsidRPr="001219F6">
        <w:rPr>
          <w:rFonts w:ascii="WindleshamPro" w:hAnsi="WindleshamPro"/>
          <w:i/>
          <w:iCs/>
          <w:color w:val="385623" w:themeColor="accent6" w:themeShade="80"/>
        </w:rPr>
        <w:t>,</w:t>
      </w:r>
      <w:r w:rsidRPr="001219F6">
        <w:rPr>
          <w:rFonts w:ascii="WindleshamPro" w:hAnsi="WindleshamPro"/>
          <w:i/>
          <w:iCs/>
          <w:color w:val="385623" w:themeColor="accent6" w:themeShade="80"/>
        </w:rPr>
        <w:t xml:space="preserve"> at han ikke drikker</w:t>
      </w:r>
      <w:r w:rsidR="008A208F" w:rsidRPr="001219F6">
        <w:rPr>
          <w:rFonts w:ascii="WindleshamPro" w:hAnsi="WindleshamPro"/>
          <w:i/>
          <w:iCs/>
          <w:color w:val="385623" w:themeColor="accent6" w:themeShade="80"/>
        </w:rPr>
        <w:t>,</w:t>
      </w:r>
      <w:r w:rsidRPr="001219F6">
        <w:rPr>
          <w:rFonts w:ascii="WindleshamPro" w:hAnsi="WindleshamPro"/>
          <w:i/>
          <w:iCs/>
          <w:color w:val="385623" w:themeColor="accent6" w:themeShade="80"/>
        </w:rPr>
        <w:t xml:space="preserve"> når han har børnene, og da min søn var 16 år</w:t>
      </w:r>
      <w:r w:rsidR="008A208F" w:rsidRPr="001219F6">
        <w:rPr>
          <w:rFonts w:ascii="WindleshamPro" w:hAnsi="WindleshamPro"/>
          <w:i/>
          <w:iCs/>
          <w:color w:val="385623" w:themeColor="accent6" w:themeShade="80"/>
        </w:rPr>
        <w:t>,</w:t>
      </w:r>
      <w:r w:rsidRPr="001219F6">
        <w:rPr>
          <w:rFonts w:ascii="WindleshamPro" w:hAnsi="WindleshamPro"/>
          <w:i/>
          <w:iCs/>
          <w:color w:val="385623" w:themeColor="accent6" w:themeShade="80"/>
        </w:rPr>
        <w:t xml:space="preserve"> havde vi et kæmpe opgør om det. Efter det er det gået ok for det meste. Min oplevelse har været</w:t>
      </w:r>
      <w:r w:rsidR="00B242E4">
        <w:rPr>
          <w:rFonts w:ascii="WindleshamPro" w:hAnsi="WindleshamPro"/>
          <w:i/>
          <w:iCs/>
          <w:color w:val="385623" w:themeColor="accent6" w:themeShade="80"/>
        </w:rPr>
        <w:t>,</w:t>
      </w:r>
      <w:r w:rsidRPr="001219F6">
        <w:rPr>
          <w:rFonts w:ascii="WindleshamPro" w:hAnsi="WindleshamPro"/>
          <w:i/>
          <w:iCs/>
          <w:color w:val="385623" w:themeColor="accent6" w:themeShade="80"/>
        </w:rPr>
        <w:t xml:space="preserve"> at børnene har haft det godt hos deres far.</w:t>
      </w:r>
    </w:p>
    <w:p w14:paraId="53070043" w14:textId="577867BA" w:rsidR="00F049F5" w:rsidRPr="001219F6" w:rsidRDefault="009538AE" w:rsidP="009538AE">
      <w:pPr>
        <w:rPr>
          <w:rFonts w:ascii="WindleshamPro" w:hAnsi="WindleshamPro"/>
          <w:i/>
          <w:iCs/>
          <w:color w:val="385623" w:themeColor="accent6" w:themeShade="80"/>
        </w:rPr>
      </w:pPr>
      <w:r w:rsidRPr="001219F6">
        <w:rPr>
          <w:rFonts w:ascii="WindleshamPro" w:hAnsi="WindleshamPro"/>
          <w:i/>
          <w:iCs/>
          <w:color w:val="385623" w:themeColor="accent6" w:themeShade="80"/>
        </w:rPr>
        <w:t xml:space="preserve">Nu er min datter 14, og hun ringede her til aften og åbnede pludselig op omkring emnet. Åbenbart er både min eksmand og hans kæreste tit fulde, og min datter græder meget. Jeg fik hende talt til ro og står nu med en angst og bekymring. </w:t>
      </w:r>
    </w:p>
    <w:p w14:paraId="2FC97EE6" w14:textId="42D3D108" w:rsidR="009538AE" w:rsidRPr="001219F6" w:rsidRDefault="009538AE" w:rsidP="009538AE">
      <w:pPr>
        <w:rPr>
          <w:rFonts w:ascii="WindleshamPro" w:hAnsi="WindleshamPro"/>
          <w:i/>
          <w:iCs/>
          <w:color w:val="385623" w:themeColor="accent6" w:themeShade="80"/>
        </w:rPr>
      </w:pPr>
      <w:r w:rsidRPr="001219F6">
        <w:rPr>
          <w:rFonts w:ascii="WindleshamPro" w:hAnsi="WindleshamPro"/>
          <w:i/>
          <w:iCs/>
          <w:color w:val="385623" w:themeColor="accent6" w:themeShade="80"/>
        </w:rPr>
        <w:t>Hvilke rettigheder har jeg overhovedet? Vi har aldrig haft statsamtet eller andre eksterne parter ind over vores skilsmisse og har i alle år bestræbt os på at være gode venner og sparringspartnere omkring vores børn. Alt det vil gå tabt</w:t>
      </w:r>
      <w:r w:rsidR="00DB382A" w:rsidRPr="001219F6">
        <w:rPr>
          <w:rFonts w:ascii="WindleshamPro" w:hAnsi="WindleshamPro"/>
          <w:i/>
          <w:iCs/>
          <w:color w:val="385623" w:themeColor="accent6" w:themeShade="80"/>
        </w:rPr>
        <w:t>,</w:t>
      </w:r>
      <w:r w:rsidRPr="001219F6">
        <w:rPr>
          <w:rFonts w:ascii="WindleshamPro" w:hAnsi="WindleshamPro"/>
          <w:i/>
          <w:iCs/>
          <w:color w:val="385623" w:themeColor="accent6" w:themeShade="80"/>
        </w:rPr>
        <w:t xml:space="preserve"> hvis jeg reagerer</w:t>
      </w:r>
      <w:r w:rsidR="00DB382A" w:rsidRPr="001219F6">
        <w:rPr>
          <w:rFonts w:ascii="WindleshamPro" w:hAnsi="WindleshamPro"/>
          <w:i/>
          <w:iCs/>
          <w:color w:val="385623" w:themeColor="accent6" w:themeShade="80"/>
        </w:rPr>
        <w:t>,</w:t>
      </w:r>
      <w:r w:rsidRPr="001219F6">
        <w:rPr>
          <w:rFonts w:ascii="WindleshamPro" w:hAnsi="WindleshamPro"/>
          <w:i/>
          <w:iCs/>
          <w:color w:val="385623" w:themeColor="accent6" w:themeShade="80"/>
        </w:rPr>
        <w:t xml:space="preserve"> som jeg lige nu har mest lyst til at reagere; hente mit barn og derved skabe en voldsom konflikt. Min eksmand er meget rig, det er jeg ikke, og jeg er bange for</w:t>
      </w:r>
      <w:r w:rsidR="002172BE" w:rsidRPr="001219F6">
        <w:rPr>
          <w:rFonts w:ascii="WindleshamPro" w:hAnsi="WindleshamPro"/>
          <w:i/>
          <w:iCs/>
          <w:color w:val="385623" w:themeColor="accent6" w:themeShade="80"/>
        </w:rPr>
        <w:t>,</w:t>
      </w:r>
      <w:r w:rsidRPr="001219F6">
        <w:rPr>
          <w:rFonts w:ascii="WindleshamPro" w:hAnsi="WindleshamPro"/>
          <w:i/>
          <w:iCs/>
          <w:color w:val="385623" w:themeColor="accent6" w:themeShade="80"/>
        </w:rPr>
        <w:t xml:space="preserve"> hvad der vil ske</w:t>
      </w:r>
      <w:r w:rsidR="002172BE" w:rsidRPr="001219F6">
        <w:rPr>
          <w:rFonts w:ascii="WindleshamPro" w:hAnsi="WindleshamPro"/>
          <w:i/>
          <w:iCs/>
          <w:color w:val="385623" w:themeColor="accent6" w:themeShade="80"/>
        </w:rPr>
        <w:t>,</w:t>
      </w:r>
      <w:r w:rsidRPr="001219F6">
        <w:rPr>
          <w:rFonts w:ascii="WindleshamPro" w:hAnsi="WindleshamPro"/>
          <w:i/>
          <w:iCs/>
          <w:color w:val="385623" w:themeColor="accent6" w:themeShade="80"/>
        </w:rPr>
        <w:t xml:space="preserve"> hvis vi pludselig efter så mange år står i en konflikt omkring samvær med vores pige.</w:t>
      </w:r>
    </w:p>
    <w:p w14:paraId="0A145D60" w14:textId="56782DC2" w:rsidR="00361A71" w:rsidRPr="001219F6" w:rsidRDefault="009538AE" w:rsidP="009538AE">
      <w:pPr>
        <w:rPr>
          <w:rFonts w:ascii="WindleshamPro" w:hAnsi="WindleshamPro"/>
          <w:i/>
          <w:iCs/>
          <w:color w:val="385623" w:themeColor="accent6" w:themeShade="80"/>
        </w:rPr>
      </w:pPr>
      <w:r w:rsidRPr="001219F6">
        <w:rPr>
          <w:rFonts w:ascii="WindleshamPro" w:hAnsi="WindleshamPro"/>
          <w:i/>
          <w:iCs/>
          <w:color w:val="385623" w:themeColor="accent6" w:themeShade="80"/>
        </w:rPr>
        <w:t>Så, hvad må jeg rent lovmæssigt i denne situation? Jeg har brug for råd…</w:t>
      </w:r>
      <w:r w:rsidR="006F44CE">
        <w:rPr>
          <w:rFonts w:ascii="WindleshamPro" w:hAnsi="WindleshamPro"/>
          <w:i/>
          <w:iCs/>
          <w:color w:val="385623" w:themeColor="accent6" w:themeShade="80"/>
        </w:rPr>
        <w:t xml:space="preserve"> </w:t>
      </w:r>
      <w:r w:rsidRPr="001219F6">
        <w:rPr>
          <w:rFonts w:ascii="WindleshamPro" w:hAnsi="WindleshamPro"/>
          <w:i/>
          <w:iCs/>
          <w:color w:val="385623" w:themeColor="accent6" w:themeShade="80"/>
        </w:rPr>
        <w:t>det hele er ved at smuldre rundt om mig.</w:t>
      </w:r>
      <w:r w:rsidR="00DE434D" w:rsidRPr="001219F6">
        <w:rPr>
          <w:rFonts w:ascii="WindleshamPro" w:hAnsi="WindleshamPro"/>
          <w:i/>
          <w:iCs/>
          <w:color w:val="385623" w:themeColor="accent6" w:themeShade="80"/>
        </w:rPr>
        <w:t>”</w:t>
      </w:r>
    </w:p>
    <w:p w14:paraId="6F02E2B0" w14:textId="2FD16644" w:rsidR="00DB4016" w:rsidRDefault="00DB4016">
      <w:pPr>
        <w:rPr>
          <w:i/>
          <w:iCs/>
          <w:color w:val="385623" w:themeColor="accent6" w:themeShade="80"/>
        </w:rPr>
      </w:pPr>
    </w:p>
    <w:p w14:paraId="194374FB" w14:textId="77777777" w:rsidR="00DB4016" w:rsidRPr="007C74E7" w:rsidRDefault="00DB4016" w:rsidP="00DB4016">
      <w:pPr>
        <w:rPr>
          <w:rFonts w:ascii="WindleshamPro" w:hAnsi="WindleshamPro"/>
          <w:b/>
          <w:bCs/>
          <w:color w:val="385623" w:themeColor="accent6" w:themeShade="80"/>
        </w:rPr>
      </w:pPr>
      <w:r w:rsidRPr="007C74E7">
        <w:rPr>
          <w:rFonts w:ascii="WindleshamPro" w:hAnsi="WindleshamPro"/>
          <w:b/>
          <w:bCs/>
          <w:color w:val="385623" w:themeColor="accent6" w:themeShade="80"/>
        </w:rPr>
        <w:t>Spørgsmål, som gruppen skal besvare med udgangspunkt i jeres tildelte metode:</w:t>
      </w:r>
    </w:p>
    <w:p w14:paraId="191CC490" w14:textId="77777777" w:rsidR="009178F4" w:rsidRPr="007C74E7" w:rsidRDefault="009178F4" w:rsidP="009178F4">
      <w:pPr>
        <w:pStyle w:val="Listeafsnit"/>
        <w:numPr>
          <w:ilvl w:val="0"/>
          <w:numId w:val="1"/>
        </w:numPr>
        <w:rPr>
          <w:rFonts w:ascii="WindleshamPro" w:hAnsi="WindleshamPro"/>
          <w:color w:val="385623" w:themeColor="accent6" w:themeShade="80"/>
        </w:rPr>
      </w:pPr>
      <w:r w:rsidRPr="007C74E7">
        <w:rPr>
          <w:rFonts w:ascii="WindleshamPro" w:hAnsi="WindleshamPro"/>
          <w:color w:val="385623" w:themeColor="accent6" w:themeShade="80"/>
        </w:rPr>
        <w:t>Hvad handler metoden om, og hvad er dens fokus?</w:t>
      </w:r>
    </w:p>
    <w:p w14:paraId="7FAD757E" w14:textId="77777777" w:rsidR="009178F4" w:rsidRPr="007C74E7" w:rsidRDefault="009178F4" w:rsidP="009178F4">
      <w:pPr>
        <w:pStyle w:val="Listeafsnit"/>
        <w:numPr>
          <w:ilvl w:val="0"/>
          <w:numId w:val="1"/>
        </w:numPr>
        <w:rPr>
          <w:rFonts w:ascii="WindleshamPro" w:hAnsi="WindleshamPro"/>
          <w:color w:val="385623" w:themeColor="accent6" w:themeShade="80"/>
        </w:rPr>
      </w:pPr>
      <w:r w:rsidRPr="007C74E7">
        <w:rPr>
          <w:rFonts w:ascii="WindleshamPro" w:hAnsi="WindleshamPro"/>
          <w:color w:val="385623" w:themeColor="accent6" w:themeShade="80"/>
        </w:rPr>
        <w:t>Hvad får I øje på, når I læser casen med metodens fokus?</w:t>
      </w:r>
    </w:p>
    <w:p w14:paraId="3C8150EB" w14:textId="77777777" w:rsidR="009178F4" w:rsidRPr="007C74E7" w:rsidRDefault="009178F4" w:rsidP="009178F4">
      <w:pPr>
        <w:pStyle w:val="Listeafsnit"/>
        <w:numPr>
          <w:ilvl w:val="0"/>
          <w:numId w:val="1"/>
        </w:numPr>
        <w:rPr>
          <w:rFonts w:ascii="WindleshamPro" w:hAnsi="WindleshamPro"/>
          <w:color w:val="385623" w:themeColor="accent6" w:themeShade="80"/>
        </w:rPr>
      </w:pPr>
      <w:r w:rsidRPr="007C74E7">
        <w:rPr>
          <w:rFonts w:ascii="WindleshamPro" w:hAnsi="WindleshamPro"/>
          <w:color w:val="385623" w:themeColor="accent6" w:themeShade="80"/>
        </w:rPr>
        <w:t>Hvordan kunne jeres første spørgsmål til brugeren lyde, hvis I skulle bruge metoden?</w:t>
      </w:r>
    </w:p>
    <w:p w14:paraId="3889CB27" w14:textId="77777777" w:rsidR="00DB4016" w:rsidRPr="00361A71" w:rsidRDefault="00DB4016" w:rsidP="009538AE">
      <w:pPr>
        <w:rPr>
          <w:i/>
          <w:iCs/>
          <w:color w:val="385623" w:themeColor="accent6" w:themeShade="80"/>
        </w:rPr>
      </w:pPr>
    </w:p>
    <w:sectPr w:rsidR="00DB4016" w:rsidRPr="00361A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WalsheimProBold">
    <w:panose1 w:val="02000503040000020003"/>
    <w:charset w:val="00"/>
    <w:family w:val="auto"/>
    <w:pitch w:val="variable"/>
    <w:sig w:usb0="A00002AF" w:usb1="5000206B" w:usb2="00000000" w:usb3="00000000" w:csb0="00000097" w:csb1="00000000"/>
  </w:font>
  <w:font w:name="WindleshamPro">
    <w:panose1 w:val="02000503000000020003"/>
    <w:charset w:val="00"/>
    <w:family w:val="auto"/>
    <w:pitch w:val="variable"/>
    <w:sig w:usb0="00000007" w:usb1="1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A69D1"/>
    <w:multiLevelType w:val="hybridMultilevel"/>
    <w:tmpl w:val="0BE6F1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7435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71"/>
    <w:rsid w:val="00061E7C"/>
    <w:rsid w:val="001219F6"/>
    <w:rsid w:val="00172040"/>
    <w:rsid w:val="00190EE6"/>
    <w:rsid w:val="002172BE"/>
    <w:rsid w:val="00361A71"/>
    <w:rsid w:val="004A746C"/>
    <w:rsid w:val="00524482"/>
    <w:rsid w:val="006F44CE"/>
    <w:rsid w:val="007C74E7"/>
    <w:rsid w:val="008A208F"/>
    <w:rsid w:val="009178F4"/>
    <w:rsid w:val="009538AE"/>
    <w:rsid w:val="00997024"/>
    <w:rsid w:val="009C64BE"/>
    <w:rsid w:val="00A84CFE"/>
    <w:rsid w:val="00B242E4"/>
    <w:rsid w:val="00C25362"/>
    <w:rsid w:val="00DB382A"/>
    <w:rsid w:val="00DB4016"/>
    <w:rsid w:val="00DE434D"/>
    <w:rsid w:val="00E071F3"/>
    <w:rsid w:val="00E34926"/>
    <w:rsid w:val="00ED2A5D"/>
    <w:rsid w:val="00F049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B555"/>
  <w15:chartTrackingRefBased/>
  <w15:docId w15:val="{1CA3F2FD-058E-4418-BF49-AEC0CB34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6" ma:contentTypeDescription="Opret et nyt dokument." ma:contentTypeScope="" ma:versionID="035a1e5a0127ec5a953fcf96f331dddb">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9faff529d4504c306e1a1c7ebbab68f9"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AAE9B-3421-4CBC-805F-E786831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921B5-90A0-489A-AD0B-29FCE3F6A07D}">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customXml/itemProps3.xml><?xml version="1.0" encoding="utf-8"?>
<ds:datastoreItem xmlns:ds="http://schemas.openxmlformats.org/officeDocument/2006/customXml" ds:itemID="{5C210C22-E4AB-4E18-91CE-F0F26D086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Ulla Lyndby Christensen</cp:lastModifiedBy>
  <cp:revision>15</cp:revision>
  <dcterms:created xsi:type="dcterms:W3CDTF">2022-08-09T12:59:00Z</dcterms:created>
  <dcterms:modified xsi:type="dcterms:W3CDTF">2022-11-07T13:38:00Z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