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AC7" w14:textId="7FF4D481" w:rsidR="009C64BE" w:rsidRPr="00C50A9F" w:rsidRDefault="0040319F" w:rsidP="00C50A9F">
      <w:pPr>
        <w:pStyle w:val="Overskrift2"/>
        <w:rPr>
          <w:rFonts w:ascii="GTWalsheimProBold" w:hAnsi="GTWalsheimProBold"/>
          <w:b/>
          <w:bCs/>
          <w:color w:val="385623"/>
          <w:sz w:val="32"/>
          <w:szCs w:val="32"/>
        </w:rPr>
      </w:pPr>
      <w:r w:rsidRPr="00AC1C50">
        <w:rPr>
          <w:rFonts w:ascii="GTWalsheimProBold" w:hAnsi="GTWalsheimProBold"/>
          <w:color w:val="385623"/>
          <w:sz w:val="32"/>
          <w:szCs w:val="32"/>
        </w:rPr>
        <w:t xml:space="preserve">Øvelse 5: </w:t>
      </w:r>
      <w:r w:rsidR="00AC1C50" w:rsidRPr="00AC1C50">
        <w:rPr>
          <w:rFonts w:ascii="GTWalsheimProBold" w:hAnsi="GTWalsheimProBold"/>
          <w:b/>
          <w:bCs/>
          <w:color w:val="385623"/>
          <w:sz w:val="32"/>
          <w:szCs w:val="32"/>
        </w:rPr>
        <w:t>Hvordan skaber vi en god relation til brugeren?</w:t>
      </w:r>
      <w:r w:rsidR="00C50A9F"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="00E06FD5" w:rsidRPr="00C50A9F">
        <w:rPr>
          <w:rFonts w:ascii="WindleshamPro" w:hAnsi="WindleshamPro"/>
          <w:color w:val="385623"/>
          <w:sz w:val="28"/>
          <w:szCs w:val="28"/>
        </w:rPr>
        <w:t>Nedenfor beskrives kort tre redskaber, som kan bruges i arbejdet med relationen til brugeren.</w:t>
      </w:r>
    </w:p>
    <w:p w14:paraId="6EA07E66" w14:textId="455583AF" w:rsidR="0040319F" w:rsidRPr="00C50A9F" w:rsidRDefault="00C50A9F">
      <w:pPr>
        <w:rPr>
          <w:rFonts w:ascii="WindleshamPro" w:hAnsi="WindleshamPro"/>
          <w:b/>
          <w:bCs/>
          <w:color w:val="385623"/>
        </w:rPr>
      </w:pPr>
      <w:r>
        <w:rPr>
          <w:rFonts w:ascii="WindleshamPro" w:hAnsi="WindleshamPro"/>
          <w:b/>
          <w:bCs/>
          <w:color w:val="385623"/>
        </w:rPr>
        <w:br/>
      </w:r>
      <w:r w:rsidR="0040319F" w:rsidRPr="00C50A9F">
        <w:rPr>
          <w:rFonts w:ascii="WindleshamPro" w:hAnsi="WindleshamPro"/>
          <w:b/>
          <w:bCs/>
          <w:color w:val="385623"/>
        </w:rPr>
        <w:t>Domæner:</w:t>
      </w:r>
      <w:r w:rsidR="0040319F" w:rsidRPr="00C50A9F">
        <w:rPr>
          <w:rFonts w:ascii="WindleshamPro" w:hAnsi="WindleshamPro"/>
          <w:b/>
          <w:bCs/>
          <w:color w:val="385623"/>
        </w:rPr>
        <w:br/>
      </w:r>
      <w:r w:rsidR="007869B3" w:rsidRPr="00C50A9F">
        <w:rPr>
          <w:rFonts w:ascii="WindleshamPro" w:hAnsi="WindleshamPro"/>
          <w:color w:val="385623"/>
        </w:rPr>
        <w:t xml:space="preserve">Domæneteorien handler om, at vi kan tale ud fra </w:t>
      </w:r>
      <w:r w:rsidR="00880F5A">
        <w:rPr>
          <w:rFonts w:ascii="WindleshamPro" w:hAnsi="WindleshamPro"/>
          <w:color w:val="385623"/>
        </w:rPr>
        <w:t xml:space="preserve">tre </w:t>
      </w:r>
      <w:r w:rsidR="007869B3" w:rsidRPr="00C50A9F">
        <w:rPr>
          <w:rFonts w:ascii="WindleshamPro" w:hAnsi="WindleshamPro"/>
          <w:color w:val="385623"/>
        </w:rPr>
        <w:t>forskellige domæner</w:t>
      </w:r>
      <w:r w:rsidR="00880F5A">
        <w:rPr>
          <w:rFonts w:ascii="WindleshamPro" w:hAnsi="WindleshamPro"/>
          <w:color w:val="385623"/>
        </w:rPr>
        <w:t xml:space="preserve"> nemlig</w:t>
      </w:r>
      <w:r w:rsidR="007869B3" w:rsidRPr="00C50A9F">
        <w:rPr>
          <w:rFonts w:ascii="WindleshamPro" w:hAnsi="WindleshamPro"/>
          <w:color w:val="385623"/>
        </w:rPr>
        <w:t xml:space="preserve">: Æstetikkens, refleksionens og produktionens domæne. </w:t>
      </w:r>
      <w:r w:rsidR="00481E0E">
        <w:rPr>
          <w:rFonts w:ascii="WindleshamPro" w:hAnsi="WindleshamPro"/>
          <w:color w:val="385623"/>
        </w:rPr>
        <w:t xml:space="preserve">I figuren nedenfor kan du se, </w:t>
      </w:r>
      <w:r w:rsidR="00A00835">
        <w:rPr>
          <w:rFonts w:ascii="WindleshamPro" w:hAnsi="WindleshamPro"/>
          <w:color w:val="385623"/>
        </w:rPr>
        <w:t>hvad der kendetegner de tre domæner</w:t>
      </w:r>
      <w:r w:rsidR="00F60AD2">
        <w:rPr>
          <w:rFonts w:ascii="WindleshamPro" w:hAnsi="WindleshamPro"/>
          <w:color w:val="385623"/>
        </w:rPr>
        <w:t xml:space="preserve"> </w:t>
      </w:r>
      <w:r w:rsidR="00F60AD2" w:rsidRPr="005B6BC7">
        <w:rPr>
          <w:rFonts w:ascii="WindleshamPro" w:hAnsi="WindleshamPro"/>
          <w:color w:val="385623"/>
        </w:rPr>
        <w:t>(</w:t>
      </w:r>
      <w:r w:rsidR="00B13308">
        <w:rPr>
          <w:rFonts w:ascii="WindleshamPro" w:hAnsi="WindleshamPro"/>
          <w:color w:val="385623"/>
        </w:rPr>
        <w:t>Boysen og Lyndb</w:t>
      </w:r>
      <w:r w:rsidR="00676021">
        <w:rPr>
          <w:rFonts w:ascii="WindleshamPro" w:hAnsi="WindleshamPro"/>
          <w:color w:val="385623"/>
        </w:rPr>
        <w:t>y</w:t>
      </w:r>
      <w:r w:rsidR="00B13308">
        <w:rPr>
          <w:rFonts w:ascii="WindleshamPro" w:hAnsi="WindleshamPro"/>
          <w:color w:val="385623"/>
        </w:rPr>
        <w:t xml:space="preserve"> Christensen</w:t>
      </w:r>
      <w:r w:rsidR="00676021">
        <w:rPr>
          <w:rFonts w:ascii="WindleshamPro" w:hAnsi="WindleshamPro"/>
          <w:color w:val="385623"/>
        </w:rPr>
        <w:t>,</w:t>
      </w:r>
      <w:r w:rsidR="00B13308">
        <w:rPr>
          <w:rFonts w:ascii="WindleshamPro" w:hAnsi="WindleshamPro"/>
          <w:color w:val="385623"/>
        </w:rPr>
        <w:t xml:space="preserve"> 2022:53)</w:t>
      </w:r>
      <w:r w:rsidR="00D413D8">
        <w:rPr>
          <w:rFonts w:ascii="WindleshamPro" w:hAnsi="WindleshamPro"/>
          <w:color w:val="385623"/>
        </w:rPr>
        <w:t>:</w:t>
      </w:r>
    </w:p>
    <w:p w14:paraId="496E9A78" w14:textId="7F50DBF4" w:rsidR="0040319F" w:rsidRDefault="00121EBB" w:rsidP="00121EBB">
      <w:pPr>
        <w:jc w:val="center"/>
      </w:pPr>
      <w:r w:rsidRPr="00121EBB">
        <w:rPr>
          <w:noProof/>
        </w:rPr>
        <w:drawing>
          <wp:inline distT="0" distB="0" distL="0" distR="0" wp14:anchorId="26681F23" wp14:editId="2BBB93E5">
            <wp:extent cx="3062282" cy="2865438"/>
            <wp:effectExtent l="0" t="0" r="5080" b="0"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42ED51AB-6DB3-72E3-1BD0-C7DF6F6E3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42ED51AB-6DB3-72E3-1BD0-C7DF6F6E3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428" t="2625" r="2243" b="2260"/>
                    <a:stretch/>
                  </pic:blipFill>
                  <pic:spPr>
                    <a:xfrm>
                      <a:off x="0" y="0"/>
                      <a:ext cx="3069455" cy="28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6C52" w14:textId="6B12430D" w:rsidR="007869B3" w:rsidRPr="00C50A9F" w:rsidRDefault="007869B3">
      <w:p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b/>
          <w:bCs/>
          <w:color w:val="385623"/>
        </w:rPr>
        <w:t>Metakommunikation:</w:t>
      </w:r>
      <w:r w:rsidRPr="00C50A9F">
        <w:rPr>
          <w:rFonts w:ascii="WindleshamPro" w:hAnsi="WindleshamPro"/>
          <w:color w:val="385623"/>
        </w:rPr>
        <w:br/>
      </w:r>
      <w:r w:rsidRPr="00B1628C">
        <w:rPr>
          <w:rFonts w:ascii="WindleshamPro" w:hAnsi="WindleshamPro"/>
          <w:i/>
          <w:iCs/>
          <w:color w:val="385623"/>
        </w:rPr>
        <w:t>”Metakommunikation er at tale om det, man gør: om målet og ramme for samtalen og om, hvorvidt samtalen går, som den skal. Det er jo kun brugeren, der kan svare på det”</w:t>
      </w:r>
      <w:r w:rsidRPr="00C50A9F">
        <w:rPr>
          <w:rFonts w:ascii="WindleshamPro" w:hAnsi="WindleshamPro"/>
          <w:color w:val="385623"/>
        </w:rPr>
        <w:t xml:space="preserve"> (</w:t>
      </w:r>
      <w:r w:rsidR="00CC5533">
        <w:rPr>
          <w:rFonts w:ascii="WindleshamPro" w:hAnsi="WindleshamPro"/>
          <w:color w:val="385623"/>
        </w:rPr>
        <w:t>Boysen og Lyndby Christensen, 2022</w:t>
      </w:r>
      <w:r w:rsidR="00CC5533">
        <w:rPr>
          <w:rFonts w:ascii="WindleshamPro" w:hAnsi="WindleshamPro"/>
          <w:color w:val="385623"/>
        </w:rPr>
        <w:t>:</w:t>
      </w:r>
      <w:r w:rsidRPr="00C50A9F">
        <w:rPr>
          <w:rFonts w:ascii="WindleshamPro" w:hAnsi="WindleshamPro"/>
          <w:color w:val="385623"/>
        </w:rPr>
        <w:t>55)</w:t>
      </w:r>
      <w:r w:rsidR="00CC5533">
        <w:rPr>
          <w:rFonts w:ascii="WindleshamPro" w:hAnsi="WindleshamPro"/>
          <w:color w:val="385623"/>
        </w:rPr>
        <w:t>.</w:t>
      </w:r>
    </w:p>
    <w:p w14:paraId="0B7E059B" w14:textId="77777777" w:rsidR="00B1628C" w:rsidRDefault="00B1628C">
      <w:pPr>
        <w:rPr>
          <w:rFonts w:ascii="WindleshamPro" w:hAnsi="WindleshamPro"/>
          <w:b/>
          <w:bCs/>
          <w:color w:val="385623"/>
        </w:rPr>
      </w:pPr>
    </w:p>
    <w:p w14:paraId="18A80E81" w14:textId="283A512F" w:rsidR="00A0695A" w:rsidRDefault="00B1628C">
      <w:pPr>
        <w:rPr>
          <w:rFonts w:ascii="WindleshamPro" w:hAnsi="WindleshamPro"/>
          <w:color w:val="385623"/>
        </w:rPr>
      </w:pPr>
      <w:r>
        <w:rPr>
          <w:rFonts w:ascii="WindleshamPro" w:hAnsi="WindleshamPro"/>
          <w:b/>
          <w:bCs/>
          <w:color w:val="385623"/>
        </w:rPr>
        <w:t>A</w:t>
      </w:r>
      <w:r w:rsidR="007869B3" w:rsidRPr="00C50A9F">
        <w:rPr>
          <w:rFonts w:ascii="WindleshamPro" w:hAnsi="WindleshamPro"/>
          <w:b/>
          <w:bCs/>
          <w:color w:val="385623"/>
        </w:rPr>
        <w:t>ktiv lytning:</w:t>
      </w:r>
      <w:r w:rsidR="007869B3" w:rsidRPr="00C50A9F">
        <w:rPr>
          <w:rFonts w:ascii="WindleshamPro" w:hAnsi="WindleshamPro"/>
          <w:b/>
          <w:bCs/>
          <w:color w:val="385623"/>
        </w:rPr>
        <w:br/>
      </w:r>
      <w:r w:rsidR="00144323">
        <w:rPr>
          <w:rFonts w:ascii="WindleshamPro" w:hAnsi="WindleshamPro"/>
          <w:color w:val="385623"/>
        </w:rPr>
        <w:t>B</w:t>
      </w:r>
      <w:r w:rsidR="007869B3" w:rsidRPr="00C50A9F">
        <w:rPr>
          <w:rFonts w:ascii="WindleshamPro" w:hAnsi="WindleshamPro"/>
          <w:color w:val="385623"/>
        </w:rPr>
        <w:t xml:space="preserve">egrebet bruges i meget af det </w:t>
      </w:r>
      <w:r w:rsidR="005230D0">
        <w:rPr>
          <w:rFonts w:ascii="WindleshamPro" w:hAnsi="WindleshamPro"/>
          <w:color w:val="385623"/>
        </w:rPr>
        <w:t xml:space="preserve">sociale </w:t>
      </w:r>
      <w:r w:rsidR="007869B3" w:rsidRPr="00C50A9F">
        <w:rPr>
          <w:rFonts w:ascii="WindleshamPro" w:hAnsi="WindleshamPro"/>
          <w:color w:val="385623"/>
        </w:rPr>
        <w:t xml:space="preserve">arbejde, </w:t>
      </w:r>
      <w:r w:rsidR="00A0695A">
        <w:rPr>
          <w:rFonts w:ascii="WindleshamPro" w:hAnsi="WindleshamPro"/>
          <w:color w:val="385623"/>
        </w:rPr>
        <w:t>som har</w:t>
      </w:r>
      <w:r w:rsidR="007869B3" w:rsidRPr="00C50A9F">
        <w:rPr>
          <w:rFonts w:ascii="WindleshamPro" w:hAnsi="WindleshamPro"/>
          <w:color w:val="385623"/>
        </w:rPr>
        <w:t xml:space="preserve"> fokus på anerkendelse af brugeren. Via aktiv lytning kan vi etablere en god kontakt til brugeren</w:t>
      </w:r>
      <w:r w:rsidR="00A838F0">
        <w:rPr>
          <w:rFonts w:ascii="WindleshamPro" w:hAnsi="WindleshamPro"/>
          <w:color w:val="385623"/>
        </w:rPr>
        <w:t xml:space="preserve"> </w:t>
      </w:r>
      <w:r w:rsidR="00CC5533" w:rsidRPr="005B6BC7">
        <w:rPr>
          <w:rFonts w:ascii="WindleshamPro" w:hAnsi="WindleshamPro"/>
          <w:color w:val="385623"/>
        </w:rPr>
        <w:t>(</w:t>
      </w:r>
      <w:r w:rsidR="00CC5533">
        <w:rPr>
          <w:rFonts w:ascii="WindleshamPro" w:hAnsi="WindleshamPro"/>
          <w:color w:val="385623"/>
        </w:rPr>
        <w:t>Boysen og Lyndby Christensen, 2022</w:t>
      </w:r>
      <w:r w:rsidR="00CC5533">
        <w:rPr>
          <w:rFonts w:ascii="WindleshamPro" w:hAnsi="WindleshamPro"/>
          <w:color w:val="385623"/>
        </w:rPr>
        <w:t>:</w:t>
      </w:r>
      <w:r w:rsidR="00A0695A">
        <w:rPr>
          <w:rFonts w:ascii="WindleshamPro" w:hAnsi="WindleshamPro"/>
          <w:color w:val="385623"/>
        </w:rPr>
        <w:t>57)</w:t>
      </w:r>
      <w:r w:rsidR="007869B3" w:rsidRPr="00C50A9F">
        <w:rPr>
          <w:rFonts w:ascii="WindleshamPro" w:hAnsi="WindleshamPro"/>
          <w:color w:val="385623"/>
        </w:rPr>
        <w:t xml:space="preserve">. </w:t>
      </w:r>
    </w:p>
    <w:p w14:paraId="028FB285" w14:textId="466E8318" w:rsidR="007869B3" w:rsidRPr="00C50A9F" w:rsidRDefault="007869B3">
      <w:p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color w:val="385623"/>
        </w:rPr>
        <w:t>Det gør vi gennem:</w:t>
      </w:r>
    </w:p>
    <w:p w14:paraId="478C2366" w14:textId="0F7A02DE" w:rsidR="007869B3" w:rsidRPr="00C50A9F" w:rsidRDefault="007869B3" w:rsidP="007869B3">
      <w:pPr>
        <w:pStyle w:val="Listeafsnit"/>
        <w:numPr>
          <w:ilvl w:val="0"/>
          <w:numId w:val="1"/>
        </w:num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color w:val="385623"/>
        </w:rPr>
        <w:t>Ubetinget positiv accept</w:t>
      </w:r>
    </w:p>
    <w:p w14:paraId="56CCCAC6" w14:textId="4C9121D8" w:rsidR="007869B3" w:rsidRPr="00C50A9F" w:rsidRDefault="007869B3" w:rsidP="007869B3">
      <w:pPr>
        <w:pStyle w:val="Listeafsnit"/>
        <w:numPr>
          <w:ilvl w:val="0"/>
          <w:numId w:val="1"/>
        </w:num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color w:val="385623"/>
        </w:rPr>
        <w:t>Empati</w:t>
      </w:r>
    </w:p>
    <w:p w14:paraId="76CC2C50" w14:textId="24044ADD" w:rsidR="007869B3" w:rsidRDefault="007869B3" w:rsidP="007869B3">
      <w:pPr>
        <w:pStyle w:val="Listeafsnit"/>
        <w:numPr>
          <w:ilvl w:val="0"/>
          <w:numId w:val="1"/>
        </w:numPr>
        <w:rPr>
          <w:rFonts w:ascii="WindleshamPro" w:hAnsi="WindleshamPro"/>
          <w:color w:val="385623"/>
        </w:rPr>
      </w:pPr>
      <w:r w:rsidRPr="00C50A9F">
        <w:rPr>
          <w:rFonts w:ascii="WindleshamPro" w:hAnsi="WindleshamPro"/>
          <w:color w:val="385623"/>
        </w:rPr>
        <w:t>Kongruens</w:t>
      </w:r>
    </w:p>
    <w:sectPr w:rsidR="007869B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E129" w14:textId="77777777" w:rsidR="003A1FCE" w:rsidRDefault="003A1FCE" w:rsidP="00D413D8">
      <w:pPr>
        <w:spacing w:after="0" w:line="240" w:lineRule="auto"/>
      </w:pPr>
      <w:r>
        <w:separator/>
      </w:r>
    </w:p>
  </w:endnote>
  <w:endnote w:type="continuationSeparator" w:id="0">
    <w:p w14:paraId="4BF4389C" w14:textId="77777777" w:rsidR="003A1FCE" w:rsidRDefault="003A1FCE" w:rsidP="00D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098" w14:textId="77777777" w:rsidR="00D413D8" w:rsidRPr="00676021" w:rsidRDefault="00D413D8" w:rsidP="00D413D8">
    <w:pPr>
      <w:rPr>
        <w:rFonts w:ascii="WindleshamPro" w:hAnsi="WindleshamPro"/>
        <w:color w:val="385623"/>
      </w:rPr>
    </w:pPr>
    <w:r>
      <w:rPr>
        <w:rFonts w:ascii="WindleshamPro" w:hAnsi="WindleshamPro"/>
        <w:color w:val="385623"/>
      </w:rPr>
      <w:t xml:space="preserve">Boysen, N. og Lyndby Christensen, U., 2022: </w:t>
    </w:r>
    <w:r w:rsidRPr="00A06AFB">
      <w:rPr>
        <w:rFonts w:ascii="WindleshamPro" w:hAnsi="WindleshamPro"/>
        <w:i/>
        <w:iCs/>
        <w:color w:val="385623"/>
      </w:rPr>
      <w:t>Telefonrådgivning – en grundbog</w:t>
    </w:r>
    <w:r>
      <w:rPr>
        <w:rFonts w:ascii="WindleshamPro" w:hAnsi="WindleshamPro"/>
        <w:color w:val="385623"/>
      </w:rPr>
      <w:t xml:space="preserve">. Akademisk Forlag </w:t>
    </w:r>
  </w:p>
  <w:p w14:paraId="6854EF55" w14:textId="77777777" w:rsidR="00D413D8" w:rsidRDefault="00D413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7C26" w14:textId="77777777" w:rsidR="003A1FCE" w:rsidRDefault="003A1FCE" w:rsidP="00D413D8">
      <w:pPr>
        <w:spacing w:after="0" w:line="240" w:lineRule="auto"/>
      </w:pPr>
      <w:r>
        <w:separator/>
      </w:r>
    </w:p>
  </w:footnote>
  <w:footnote w:type="continuationSeparator" w:id="0">
    <w:p w14:paraId="69DE0D86" w14:textId="77777777" w:rsidR="003A1FCE" w:rsidRDefault="003A1FCE" w:rsidP="00D4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1EB"/>
    <w:multiLevelType w:val="hybridMultilevel"/>
    <w:tmpl w:val="C52CD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9F"/>
    <w:rsid w:val="00011213"/>
    <w:rsid w:val="0006751C"/>
    <w:rsid w:val="00121EBB"/>
    <w:rsid w:val="00144323"/>
    <w:rsid w:val="001B5F6C"/>
    <w:rsid w:val="00341900"/>
    <w:rsid w:val="003A1FCE"/>
    <w:rsid w:val="0040319F"/>
    <w:rsid w:val="00481E0E"/>
    <w:rsid w:val="005230D0"/>
    <w:rsid w:val="005A5432"/>
    <w:rsid w:val="005B6BC7"/>
    <w:rsid w:val="00631A1D"/>
    <w:rsid w:val="00676021"/>
    <w:rsid w:val="006D16B3"/>
    <w:rsid w:val="007869B3"/>
    <w:rsid w:val="00880F5A"/>
    <w:rsid w:val="009339A0"/>
    <w:rsid w:val="009C64BE"/>
    <w:rsid w:val="00A00835"/>
    <w:rsid w:val="00A0695A"/>
    <w:rsid w:val="00A06AFB"/>
    <w:rsid w:val="00A838F0"/>
    <w:rsid w:val="00AC1C50"/>
    <w:rsid w:val="00B13308"/>
    <w:rsid w:val="00B1628C"/>
    <w:rsid w:val="00B46DC1"/>
    <w:rsid w:val="00B92E6C"/>
    <w:rsid w:val="00C50A9F"/>
    <w:rsid w:val="00CC5533"/>
    <w:rsid w:val="00D413D8"/>
    <w:rsid w:val="00D564BB"/>
    <w:rsid w:val="00D83F57"/>
    <w:rsid w:val="00E06FD5"/>
    <w:rsid w:val="00F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03B"/>
  <w15:chartTrackingRefBased/>
  <w15:docId w15:val="{7D7FAD10-B6A3-4D5A-A3E0-6330DE0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1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69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21E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4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13D8"/>
  </w:style>
  <w:style w:type="paragraph" w:styleId="Sidefod">
    <w:name w:val="footer"/>
    <w:basedOn w:val="Normal"/>
    <w:link w:val="SidefodTegn"/>
    <w:uiPriority w:val="99"/>
    <w:unhideWhenUsed/>
    <w:rsid w:val="00D4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Props1.xml><?xml version="1.0" encoding="utf-8"?>
<ds:datastoreItem xmlns:ds="http://schemas.openxmlformats.org/officeDocument/2006/customXml" ds:itemID="{BA6623DA-75AE-4FFA-A7B6-E965A2DB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06C58-A0B8-473D-B764-27E8E910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16FC4-2B5A-4FE6-952D-A60578921BB1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33</cp:revision>
  <dcterms:created xsi:type="dcterms:W3CDTF">2022-08-09T10:49:00Z</dcterms:created>
  <dcterms:modified xsi:type="dcterms:W3CDTF">2022-11-07T11:32:00Z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