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9FCD" w14:textId="6BEF8879" w:rsidR="00013F19" w:rsidRPr="00013F19" w:rsidRDefault="00013F19" w:rsidP="00013F19">
      <w:pPr>
        <w:pStyle w:val="Overskrift2"/>
        <w:rPr>
          <w:rFonts w:ascii="GTWalsheimProBold" w:hAnsi="GTWalsheimProBold"/>
          <w:b/>
          <w:bCs/>
          <w:color w:val="385623"/>
          <w:sz w:val="32"/>
          <w:szCs w:val="32"/>
        </w:rPr>
      </w:pPr>
      <w:r w:rsidRPr="00013F19">
        <w:rPr>
          <w:rFonts w:ascii="GTWalsheimProBold" w:hAnsi="GTWalsheimProBold"/>
          <w:color w:val="385623"/>
          <w:sz w:val="32"/>
          <w:szCs w:val="32"/>
        </w:rPr>
        <w:t xml:space="preserve">Øvelse 5: </w:t>
      </w:r>
      <w:r w:rsidRPr="00013F19">
        <w:rPr>
          <w:rFonts w:ascii="GTWalsheimProBold" w:hAnsi="GTWalsheimProBold"/>
          <w:b/>
          <w:bCs/>
          <w:color w:val="385623"/>
          <w:sz w:val="32"/>
          <w:szCs w:val="32"/>
        </w:rPr>
        <w:t>Hvordan skaber vi en god relation til brugeren?</w:t>
      </w:r>
      <w:r>
        <w:rPr>
          <w:rFonts w:ascii="GTWalsheimProBold" w:hAnsi="GTWalsheimProBold"/>
          <w:b/>
          <w:bCs/>
          <w:color w:val="385623"/>
          <w:sz w:val="32"/>
          <w:szCs w:val="32"/>
        </w:rPr>
        <w:br/>
      </w:r>
      <w:r w:rsidRPr="00554116">
        <w:rPr>
          <w:rFonts w:ascii="WindleshamPro" w:hAnsi="WindleshamPro"/>
          <w:color w:val="385623"/>
          <w:sz w:val="32"/>
          <w:szCs w:val="32"/>
        </w:rPr>
        <w:t>Drejebog til facilitator.</w:t>
      </w:r>
    </w:p>
    <w:p w14:paraId="626D6D82" w14:textId="77777777" w:rsidR="009A7C27" w:rsidRDefault="009A7C27" w:rsidP="009A7C27">
      <w:pPr>
        <w:rPr>
          <w:color w:val="385623"/>
        </w:rPr>
      </w:pPr>
    </w:p>
    <w:p w14:paraId="2B2B21AC" w14:textId="27B3ECC0" w:rsidR="009A7C27" w:rsidRPr="009A7C27" w:rsidRDefault="009A7C27" w:rsidP="009A7C27">
      <w:pPr>
        <w:rPr>
          <w:color w:val="385623"/>
        </w:rPr>
      </w:pPr>
      <w:r w:rsidRPr="009A7C27">
        <w:rPr>
          <w:color w:val="385623"/>
        </w:rPr>
        <w:t>Formål med øvelsen: Øvelsen giver rådgiverne konkrete redskaber til arbejdet med at etablere og vedligeholde en god relation til brugeren.</w:t>
      </w:r>
    </w:p>
    <w:tbl>
      <w:tblPr>
        <w:tblStyle w:val="Tabel-Gitter"/>
        <w:tblW w:w="0" w:type="auto"/>
        <w:tblLook w:val="04A0" w:firstRow="1" w:lastRow="0" w:firstColumn="1" w:lastColumn="0" w:noHBand="0" w:noVBand="1"/>
      </w:tblPr>
      <w:tblGrid>
        <w:gridCol w:w="986"/>
        <w:gridCol w:w="1334"/>
        <w:gridCol w:w="7841"/>
        <w:gridCol w:w="3265"/>
      </w:tblGrid>
      <w:tr w:rsidR="00013F19" w:rsidRPr="00013F19" w14:paraId="703D5994" w14:textId="77777777" w:rsidTr="00CE0653">
        <w:tc>
          <w:tcPr>
            <w:tcW w:w="986" w:type="dxa"/>
            <w:shd w:val="clear" w:color="auto" w:fill="385623" w:themeFill="accent6" w:themeFillShade="80"/>
          </w:tcPr>
          <w:p w14:paraId="4276F72A" w14:textId="77777777" w:rsidR="00013F19" w:rsidRPr="00013F19" w:rsidRDefault="00013F19" w:rsidP="00CE0653">
            <w:pPr>
              <w:rPr>
                <w:b/>
                <w:bCs/>
                <w:color w:val="FFFFFF" w:themeColor="background1"/>
              </w:rPr>
            </w:pPr>
            <w:r w:rsidRPr="00013F19">
              <w:rPr>
                <w:b/>
                <w:bCs/>
                <w:color w:val="FFFFFF" w:themeColor="background1"/>
              </w:rPr>
              <w:t>Klokken</w:t>
            </w:r>
          </w:p>
        </w:tc>
        <w:tc>
          <w:tcPr>
            <w:tcW w:w="1334" w:type="dxa"/>
            <w:shd w:val="clear" w:color="auto" w:fill="385623" w:themeFill="accent6" w:themeFillShade="80"/>
          </w:tcPr>
          <w:p w14:paraId="68F4E809" w14:textId="77777777" w:rsidR="00013F19" w:rsidRPr="00013F19" w:rsidRDefault="00013F19" w:rsidP="00CE0653">
            <w:pPr>
              <w:rPr>
                <w:b/>
                <w:bCs/>
                <w:color w:val="FFFFFF" w:themeColor="background1"/>
              </w:rPr>
            </w:pPr>
            <w:r w:rsidRPr="00013F19">
              <w:rPr>
                <w:b/>
                <w:bCs/>
                <w:color w:val="FFFFFF" w:themeColor="background1"/>
              </w:rPr>
              <w:t>Tid</w:t>
            </w:r>
          </w:p>
        </w:tc>
        <w:tc>
          <w:tcPr>
            <w:tcW w:w="7841" w:type="dxa"/>
            <w:shd w:val="clear" w:color="auto" w:fill="385623" w:themeFill="accent6" w:themeFillShade="80"/>
          </w:tcPr>
          <w:p w14:paraId="1676A30C" w14:textId="77777777" w:rsidR="00013F19" w:rsidRPr="00013F19" w:rsidRDefault="00013F19" w:rsidP="00CE0653">
            <w:pPr>
              <w:rPr>
                <w:b/>
                <w:bCs/>
                <w:color w:val="FFFFFF" w:themeColor="background1"/>
              </w:rPr>
            </w:pPr>
            <w:r w:rsidRPr="00013F19">
              <w:rPr>
                <w:b/>
                <w:bCs/>
                <w:color w:val="FFFFFF" w:themeColor="background1"/>
              </w:rPr>
              <w:t>Indhold</w:t>
            </w:r>
          </w:p>
        </w:tc>
        <w:tc>
          <w:tcPr>
            <w:tcW w:w="3265" w:type="dxa"/>
            <w:shd w:val="clear" w:color="auto" w:fill="385623" w:themeFill="accent6" w:themeFillShade="80"/>
          </w:tcPr>
          <w:p w14:paraId="6059CDE9" w14:textId="77777777" w:rsidR="00013F19" w:rsidRPr="00013F19" w:rsidRDefault="00013F19" w:rsidP="00CE0653">
            <w:pPr>
              <w:rPr>
                <w:b/>
                <w:bCs/>
                <w:color w:val="FFFFFF" w:themeColor="background1"/>
              </w:rPr>
            </w:pPr>
            <w:r w:rsidRPr="00013F19">
              <w:rPr>
                <w:b/>
                <w:bCs/>
                <w:color w:val="FFFFFF" w:themeColor="background1"/>
              </w:rPr>
              <w:t>Forberedelse</w:t>
            </w:r>
          </w:p>
        </w:tc>
      </w:tr>
      <w:tr w:rsidR="00013F19" w:rsidRPr="00AB7AA7" w14:paraId="7125633B" w14:textId="77777777" w:rsidTr="00CE0653">
        <w:tc>
          <w:tcPr>
            <w:tcW w:w="986" w:type="dxa"/>
          </w:tcPr>
          <w:p w14:paraId="7CA27F38" w14:textId="77777777" w:rsidR="00013F19" w:rsidRPr="00AB7AA7" w:rsidRDefault="00013F19" w:rsidP="00CE0653">
            <w:pPr>
              <w:rPr>
                <w:color w:val="385623"/>
              </w:rPr>
            </w:pPr>
          </w:p>
        </w:tc>
        <w:tc>
          <w:tcPr>
            <w:tcW w:w="1334" w:type="dxa"/>
          </w:tcPr>
          <w:p w14:paraId="00F77C50" w14:textId="77777777" w:rsidR="00013F19" w:rsidRPr="00AB7AA7" w:rsidRDefault="00013F19" w:rsidP="00CE0653">
            <w:pPr>
              <w:rPr>
                <w:color w:val="385623"/>
              </w:rPr>
            </w:pPr>
            <w:r w:rsidRPr="00AB7AA7">
              <w:rPr>
                <w:color w:val="385623"/>
              </w:rPr>
              <w:t>5 min.</w:t>
            </w:r>
          </w:p>
        </w:tc>
        <w:tc>
          <w:tcPr>
            <w:tcW w:w="7841" w:type="dxa"/>
          </w:tcPr>
          <w:p w14:paraId="3168AB02" w14:textId="77777777" w:rsidR="00013F19" w:rsidRPr="00AB7AA7" w:rsidRDefault="00013F19" w:rsidP="00CE0653">
            <w:pPr>
              <w:rPr>
                <w:b/>
                <w:bCs/>
                <w:color w:val="385623"/>
              </w:rPr>
            </w:pPr>
            <w:r w:rsidRPr="00AB7AA7">
              <w:rPr>
                <w:b/>
                <w:bCs/>
                <w:color w:val="385623"/>
              </w:rPr>
              <w:t>Introduktion til øvelsen:</w:t>
            </w:r>
          </w:p>
          <w:p w14:paraId="17752A12" w14:textId="6B615449" w:rsidR="00013F19" w:rsidRDefault="00013F19" w:rsidP="00CE0653">
            <w:pPr>
              <w:rPr>
                <w:color w:val="385623"/>
              </w:rPr>
            </w:pPr>
            <w:r w:rsidRPr="00AB7AA7">
              <w:rPr>
                <w:color w:val="385623"/>
              </w:rPr>
              <w:t xml:space="preserve">Fortæl, at forskning peger på, at relationen mellem bruger og rådgiver har større betydning for brugerens udbytte af samtalen end </w:t>
            </w:r>
            <w:r w:rsidR="006907AF">
              <w:rPr>
                <w:color w:val="385623"/>
              </w:rPr>
              <w:t xml:space="preserve">f.eks. </w:t>
            </w:r>
            <w:r w:rsidRPr="00AB7AA7">
              <w:rPr>
                <w:color w:val="385623"/>
              </w:rPr>
              <w:t>hvilken metode, vi anvender i telefonrådgivningen. Derfor er det så vigtigt, at vi får skabt og vedligeholder en god relation til brugeren. Det er det, denne øvelse handler om.</w:t>
            </w:r>
          </w:p>
          <w:p w14:paraId="559C3DF4" w14:textId="77777777" w:rsidR="006907AF" w:rsidRDefault="006907AF" w:rsidP="00CE0653">
            <w:pPr>
              <w:rPr>
                <w:color w:val="385623"/>
              </w:rPr>
            </w:pPr>
          </w:p>
          <w:p w14:paraId="69241D95" w14:textId="3EB37294" w:rsidR="006907AF" w:rsidRPr="00AB7AA7" w:rsidRDefault="00700050" w:rsidP="00CE0653">
            <w:pPr>
              <w:rPr>
                <w:color w:val="385623"/>
              </w:rPr>
            </w:pPr>
            <w:r>
              <w:rPr>
                <w:color w:val="385623"/>
              </w:rPr>
              <w:t xml:space="preserve">Fortæl, at rådgiverne </w:t>
            </w:r>
            <w:r w:rsidR="00FD4504">
              <w:rPr>
                <w:color w:val="385623"/>
              </w:rPr>
              <w:t xml:space="preserve">vil </w:t>
            </w:r>
            <w:r>
              <w:rPr>
                <w:color w:val="385623"/>
              </w:rPr>
              <w:t xml:space="preserve">blive præsenteret for tre forskellige redskaber til at forstå og arbejde med relationen til brugeren. De vil komme til at </w:t>
            </w:r>
            <w:r w:rsidR="008C0827">
              <w:rPr>
                <w:color w:val="385623"/>
              </w:rPr>
              <w:t xml:space="preserve">lytte efter, hvordan de tre redskaber </w:t>
            </w:r>
            <w:r w:rsidR="00FD4504">
              <w:rPr>
                <w:color w:val="385623"/>
              </w:rPr>
              <w:t xml:space="preserve">kommer i </w:t>
            </w:r>
            <w:r w:rsidR="008B02D3">
              <w:rPr>
                <w:color w:val="385623"/>
              </w:rPr>
              <w:t xml:space="preserve">spil i en fiktiv rådgivningssamtale med en ung kvinde. Og derudover vil de reflektere over </w:t>
            </w:r>
            <w:r w:rsidR="00F62405">
              <w:rPr>
                <w:color w:val="385623"/>
              </w:rPr>
              <w:t>og drøfte egne erfaringer med at etablere og fastholde en god relation til brugere</w:t>
            </w:r>
            <w:r w:rsidR="00644304">
              <w:rPr>
                <w:color w:val="385623"/>
              </w:rPr>
              <w:t>.</w:t>
            </w:r>
          </w:p>
          <w:p w14:paraId="04DBB851" w14:textId="77777777" w:rsidR="00013F19" w:rsidRPr="00AB7AA7" w:rsidRDefault="00013F19" w:rsidP="00CE0653">
            <w:pPr>
              <w:rPr>
                <w:color w:val="385623"/>
              </w:rPr>
            </w:pPr>
          </w:p>
        </w:tc>
        <w:tc>
          <w:tcPr>
            <w:tcW w:w="3265" w:type="dxa"/>
          </w:tcPr>
          <w:p w14:paraId="7C3AA6FE" w14:textId="77777777" w:rsidR="00013F19" w:rsidRPr="00AB7AA7" w:rsidRDefault="00013F19" w:rsidP="00CE0653">
            <w:pPr>
              <w:rPr>
                <w:color w:val="385623"/>
              </w:rPr>
            </w:pPr>
          </w:p>
        </w:tc>
      </w:tr>
      <w:tr w:rsidR="00013F19" w:rsidRPr="00AB7AA7" w14:paraId="46D4240E" w14:textId="77777777" w:rsidTr="00CE0653">
        <w:tc>
          <w:tcPr>
            <w:tcW w:w="986" w:type="dxa"/>
          </w:tcPr>
          <w:p w14:paraId="425CC7E4" w14:textId="77777777" w:rsidR="00013F19" w:rsidRPr="00AB7AA7" w:rsidRDefault="00013F19" w:rsidP="00CE0653">
            <w:pPr>
              <w:rPr>
                <w:color w:val="385623"/>
              </w:rPr>
            </w:pPr>
          </w:p>
        </w:tc>
        <w:tc>
          <w:tcPr>
            <w:tcW w:w="1334" w:type="dxa"/>
          </w:tcPr>
          <w:p w14:paraId="7C6D6099" w14:textId="77777777" w:rsidR="00013F19" w:rsidRPr="00AB7AA7" w:rsidRDefault="00013F19" w:rsidP="00CE0653">
            <w:pPr>
              <w:rPr>
                <w:color w:val="385623"/>
              </w:rPr>
            </w:pPr>
            <w:r w:rsidRPr="00AB7AA7">
              <w:rPr>
                <w:color w:val="385623"/>
              </w:rPr>
              <w:t>5 min.</w:t>
            </w:r>
          </w:p>
        </w:tc>
        <w:tc>
          <w:tcPr>
            <w:tcW w:w="7841" w:type="dxa"/>
          </w:tcPr>
          <w:p w14:paraId="0B1FC792" w14:textId="77777777" w:rsidR="00013F19" w:rsidRPr="00AB7AA7" w:rsidRDefault="00013F19" w:rsidP="00CE0653">
            <w:pPr>
              <w:rPr>
                <w:b/>
                <w:bCs/>
                <w:color w:val="385623"/>
              </w:rPr>
            </w:pPr>
            <w:r w:rsidRPr="00AB7AA7">
              <w:rPr>
                <w:b/>
                <w:bCs/>
                <w:color w:val="385623"/>
              </w:rPr>
              <w:t>Individuel refleksion:</w:t>
            </w:r>
          </w:p>
          <w:p w14:paraId="5D37D46D" w14:textId="2B708BA2" w:rsidR="00013F19" w:rsidRPr="00AB7AA7" w:rsidRDefault="00013F19" w:rsidP="00CE0653">
            <w:pPr>
              <w:rPr>
                <w:color w:val="385623"/>
              </w:rPr>
            </w:pPr>
            <w:r w:rsidRPr="00AB7AA7">
              <w:rPr>
                <w:color w:val="385623"/>
              </w:rPr>
              <w:t xml:space="preserve">Bed rådgiverne om at tænke på en samtale, de har haft, som var udfordrende pga.  relationen til brugeren. Det vil sige en samtale, hvor de gik skævt af hinanden eller relationen på anden måde blev udfordret. Måske opstod der misforståelser, vrede, antipati, uklarheder eller lignende? Kan de ikke komme på en samtale fra rådgivningen, må det også gerne være fra andre sammenhænge i deres liv. </w:t>
            </w:r>
          </w:p>
          <w:p w14:paraId="41DD2FC4" w14:textId="77777777" w:rsidR="00013F19" w:rsidRPr="00AB7AA7" w:rsidRDefault="00013F19" w:rsidP="00CE0653">
            <w:pPr>
              <w:rPr>
                <w:b/>
                <w:bCs/>
                <w:color w:val="385623"/>
              </w:rPr>
            </w:pPr>
          </w:p>
          <w:p w14:paraId="5D7E47B2" w14:textId="629356CF" w:rsidR="00013F19" w:rsidRPr="00AB7AA7" w:rsidRDefault="00013F19" w:rsidP="00CE0653">
            <w:pPr>
              <w:rPr>
                <w:color w:val="385623"/>
              </w:rPr>
            </w:pPr>
            <w:r w:rsidRPr="00AB7AA7">
              <w:rPr>
                <w:color w:val="385623"/>
              </w:rPr>
              <w:t>Bed dem tage noter til deres historie</w:t>
            </w:r>
            <w:r w:rsidR="00EE39BF">
              <w:rPr>
                <w:color w:val="385623"/>
              </w:rPr>
              <w:t xml:space="preserve"> til egen brug</w:t>
            </w:r>
            <w:r w:rsidR="00B81FE8">
              <w:rPr>
                <w:color w:val="385623"/>
              </w:rPr>
              <w:t xml:space="preserve">, så de kan huske deres overvejelser </w:t>
            </w:r>
            <w:r w:rsidR="00EE39BF">
              <w:rPr>
                <w:color w:val="385623"/>
              </w:rPr>
              <w:t>senere i øvelsen</w:t>
            </w:r>
            <w:r w:rsidRPr="00AB7AA7">
              <w:rPr>
                <w:color w:val="385623"/>
              </w:rPr>
              <w:t>.</w:t>
            </w:r>
          </w:p>
          <w:p w14:paraId="50915B2B" w14:textId="77777777" w:rsidR="00013F19" w:rsidRPr="00AB7AA7" w:rsidRDefault="00013F19" w:rsidP="00CE0653">
            <w:pPr>
              <w:rPr>
                <w:color w:val="385623"/>
              </w:rPr>
            </w:pPr>
          </w:p>
        </w:tc>
        <w:tc>
          <w:tcPr>
            <w:tcW w:w="3265" w:type="dxa"/>
          </w:tcPr>
          <w:p w14:paraId="736362D9" w14:textId="77777777" w:rsidR="00013F19" w:rsidRPr="00AB7AA7" w:rsidRDefault="00013F19" w:rsidP="00CE0653">
            <w:pPr>
              <w:rPr>
                <w:color w:val="385623"/>
              </w:rPr>
            </w:pPr>
          </w:p>
        </w:tc>
      </w:tr>
      <w:tr w:rsidR="00013F19" w:rsidRPr="00AB7AA7" w14:paraId="2FAE424D" w14:textId="77777777" w:rsidTr="00CE0653">
        <w:tc>
          <w:tcPr>
            <w:tcW w:w="986" w:type="dxa"/>
          </w:tcPr>
          <w:p w14:paraId="5378056D" w14:textId="77777777" w:rsidR="00013F19" w:rsidRPr="00AB7AA7" w:rsidRDefault="00013F19" w:rsidP="00CE0653">
            <w:pPr>
              <w:rPr>
                <w:color w:val="385623"/>
              </w:rPr>
            </w:pPr>
          </w:p>
        </w:tc>
        <w:tc>
          <w:tcPr>
            <w:tcW w:w="1334" w:type="dxa"/>
          </w:tcPr>
          <w:p w14:paraId="3E75065B" w14:textId="77777777" w:rsidR="00013F19" w:rsidRPr="00AB7AA7" w:rsidRDefault="00013F19" w:rsidP="00CE0653">
            <w:pPr>
              <w:rPr>
                <w:color w:val="385623"/>
              </w:rPr>
            </w:pPr>
            <w:r w:rsidRPr="00AB7AA7">
              <w:rPr>
                <w:color w:val="385623"/>
              </w:rPr>
              <w:t>10 min.</w:t>
            </w:r>
          </w:p>
        </w:tc>
        <w:tc>
          <w:tcPr>
            <w:tcW w:w="7841" w:type="dxa"/>
          </w:tcPr>
          <w:p w14:paraId="2A81B025" w14:textId="77777777" w:rsidR="00013F19" w:rsidRPr="00AB7AA7" w:rsidRDefault="00013F19" w:rsidP="00CE0653">
            <w:pPr>
              <w:rPr>
                <w:b/>
                <w:bCs/>
                <w:color w:val="385623"/>
              </w:rPr>
            </w:pPr>
            <w:r w:rsidRPr="00AB7AA7">
              <w:rPr>
                <w:b/>
                <w:bCs/>
                <w:color w:val="385623"/>
              </w:rPr>
              <w:t>Deling af erfaring to og to – første runde:</w:t>
            </w:r>
          </w:p>
          <w:p w14:paraId="4C4F422C" w14:textId="77777777" w:rsidR="00013F19" w:rsidRPr="00AB7AA7" w:rsidRDefault="00013F19" w:rsidP="00CE0653">
            <w:pPr>
              <w:rPr>
                <w:color w:val="385623"/>
              </w:rPr>
            </w:pPr>
            <w:r w:rsidRPr="00AB7AA7">
              <w:rPr>
                <w:color w:val="385623"/>
              </w:rPr>
              <w:t>Bed rådgiverne dele deres historier to og to.</w:t>
            </w:r>
          </w:p>
          <w:p w14:paraId="17AA7DCF" w14:textId="77777777" w:rsidR="00013F19" w:rsidRPr="00AB7AA7" w:rsidRDefault="00013F19" w:rsidP="00CE0653">
            <w:pPr>
              <w:rPr>
                <w:color w:val="385623"/>
              </w:rPr>
            </w:pPr>
          </w:p>
        </w:tc>
        <w:tc>
          <w:tcPr>
            <w:tcW w:w="3265" w:type="dxa"/>
          </w:tcPr>
          <w:p w14:paraId="02A9304A" w14:textId="77777777" w:rsidR="00013F19" w:rsidRPr="00AB7AA7" w:rsidRDefault="00013F19" w:rsidP="00CE0653">
            <w:pPr>
              <w:rPr>
                <w:color w:val="385623"/>
              </w:rPr>
            </w:pPr>
          </w:p>
        </w:tc>
      </w:tr>
      <w:tr w:rsidR="00013F19" w:rsidRPr="00AB7AA7" w14:paraId="5F17C12A" w14:textId="77777777" w:rsidTr="00CE0653">
        <w:tc>
          <w:tcPr>
            <w:tcW w:w="986" w:type="dxa"/>
          </w:tcPr>
          <w:p w14:paraId="4B325F63" w14:textId="77777777" w:rsidR="00013F19" w:rsidRPr="00AB7AA7" w:rsidRDefault="00013F19" w:rsidP="00CE0653">
            <w:pPr>
              <w:rPr>
                <w:color w:val="385623"/>
              </w:rPr>
            </w:pPr>
          </w:p>
        </w:tc>
        <w:tc>
          <w:tcPr>
            <w:tcW w:w="1334" w:type="dxa"/>
          </w:tcPr>
          <w:p w14:paraId="66823A85" w14:textId="77777777" w:rsidR="00013F19" w:rsidRPr="00AB7AA7" w:rsidRDefault="00013F19" w:rsidP="00CE0653">
            <w:pPr>
              <w:rPr>
                <w:color w:val="385623"/>
              </w:rPr>
            </w:pPr>
            <w:r w:rsidRPr="00AB7AA7">
              <w:rPr>
                <w:color w:val="385623"/>
              </w:rPr>
              <w:t>15 min.</w:t>
            </w:r>
          </w:p>
        </w:tc>
        <w:tc>
          <w:tcPr>
            <w:tcW w:w="7841" w:type="dxa"/>
          </w:tcPr>
          <w:p w14:paraId="3D97215B" w14:textId="29D0D231" w:rsidR="00013F19" w:rsidRPr="00AB7AA7" w:rsidRDefault="00013F19" w:rsidP="00CE0653">
            <w:pPr>
              <w:rPr>
                <w:color w:val="385623"/>
              </w:rPr>
            </w:pPr>
            <w:r w:rsidRPr="00AB7AA7">
              <w:rPr>
                <w:b/>
                <w:bCs/>
                <w:color w:val="385623"/>
              </w:rPr>
              <w:t>Præsentation i plenum:</w:t>
            </w:r>
            <w:r w:rsidR="00240DD1">
              <w:rPr>
                <w:b/>
                <w:bCs/>
                <w:color w:val="385623"/>
              </w:rPr>
              <w:br/>
            </w:r>
            <w:r w:rsidRPr="00AB7AA7">
              <w:rPr>
                <w:color w:val="385623"/>
              </w:rPr>
              <w:t xml:space="preserve">Præsentér nu med udgangspunkt i </w:t>
            </w:r>
            <w:r w:rsidR="00240DD1">
              <w:rPr>
                <w:color w:val="385623"/>
              </w:rPr>
              <w:t>P</w:t>
            </w:r>
            <w:r w:rsidRPr="00AB7AA7">
              <w:rPr>
                <w:color w:val="385623"/>
              </w:rPr>
              <w:t>ower</w:t>
            </w:r>
            <w:r w:rsidR="00240DD1">
              <w:rPr>
                <w:color w:val="385623"/>
              </w:rPr>
              <w:t>P</w:t>
            </w:r>
            <w:r w:rsidRPr="00AB7AA7">
              <w:rPr>
                <w:color w:val="385623"/>
              </w:rPr>
              <w:t xml:space="preserve">oint-slides de tre redskaber </w:t>
            </w:r>
            <w:r w:rsidR="000F571E">
              <w:rPr>
                <w:color w:val="385623"/>
              </w:rPr>
              <w:t xml:space="preserve">nedenfor og beskriv, hvordan de kan brugs </w:t>
            </w:r>
            <w:r w:rsidRPr="00AB7AA7">
              <w:rPr>
                <w:color w:val="385623"/>
              </w:rPr>
              <w:t xml:space="preserve">i arbejdet med relationen til brugeren over telefonen nemlig: </w:t>
            </w:r>
          </w:p>
          <w:p w14:paraId="69E76E82" w14:textId="77777777" w:rsidR="00013F19" w:rsidRPr="00AB7AA7" w:rsidRDefault="00013F19" w:rsidP="00013F19">
            <w:pPr>
              <w:pStyle w:val="Listeafsnit"/>
              <w:numPr>
                <w:ilvl w:val="0"/>
                <w:numId w:val="1"/>
              </w:numPr>
              <w:rPr>
                <w:color w:val="385623"/>
              </w:rPr>
            </w:pPr>
            <w:r w:rsidRPr="00AB7AA7">
              <w:rPr>
                <w:color w:val="385623"/>
              </w:rPr>
              <w:t>Domæneteori</w:t>
            </w:r>
          </w:p>
          <w:p w14:paraId="6E8751E2" w14:textId="0A0913BC" w:rsidR="00013F19" w:rsidRPr="00AB7AA7" w:rsidRDefault="00013F19" w:rsidP="00013F19">
            <w:pPr>
              <w:pStyle w:val="Listeafsnit"/>
              <w:numPr>
                <w:ilvl w:val="0"/>
                <w:numId w:val="1"/>
              </w:numPr>
              <w:rPr>
                <w:color w:val="385623"/>
              </w:rPr>
            </w:pPr>
            <w:r w:rsidRPr="00AB7AA7">
              <w:rPr>
                <w:color w:val="385623"/>
              </w:rPr>
              <w:t xml:space="preserve">Metakommunikation </w:t>
            </w:r>
          </w:p>
          <w:p w14:paraId="585D3114" w14:textId="1ADE52F9" w:rsidR="00013F19" w:rsidRPr="00AB7AA7" w:rsidRDefault="00013F19" w:rsidP="00013F19">
            <w:pPr>
              <w:pStyle w:val="Listeafsnit"/>
              <w:numPr>
                <w:ilvl w:val="0"/>
                <w:numId w:val="1"/>
              </w:numPr>
              <w:rPr>
                <w:color w:val="385623"/>
              </w:rPr>
            </w:pPr>
            <w:r w:rsidRPr="00AB7AA7">
              <w:rPr>
                <w:color w:val="385623"/>
              </w:rPr>
              <w:t>Aktiv lytning</w:t>
            </w:r>
            <w:r w:rsidR="00CA7DAD">
              <w:rPr>
                <w:color w:val="385623"/>
              </w:rPr>
              <w:t xml:space="preserve"> (</w:t>
            </w:r>
            <w:r w:rsidR="00A216F0">
              <w:rPr>
                <w:color w:val="385623"/>
              </w:rPr>
              <w:t>s. 49-60)</w:t>
            </w:r>
            <w:r w:rsidRPr="00AB7AA7">
              <w:rPr>
                <w:color w:val="385623"/>
              </w:rPr>
              <w:t xml:space="preserve">. </w:t>
            </w:r>
          </w:p>
          <w:p w14:paraId="0A30AE5A" w14:textId="77777777" w:rsidR="00013F19" w:rsidRPr="00AB7AA7" w:rsidRDefault="00013F19" w:rsidP="00CE0653">
            <w:pPr>
              <w:rPr>
                <w:color w:val="385623"/>
              </w:rPr>
            </w:pPr>
          </w:p>
          <w:p w14:paraId="089D5D42" w14:textId="77777777" w:rsidR="00013F19" w:rsidRPr="00AB7AA7" w:rsidRDefault="00013F19" w:rsidP="00CE0653">
            <w:pPr>
              <w:rPr>
                <w:color w:val="385623"/>
              </w:rPr>
            </w:pPr>
            <w:r w:rsidRPr="00AB7AA7">
              <w:rPr>
                <w:color w:val="385623"/>
              </w:rPr>
              <w:t xml:space="preserve">Uddel handouts, som rådgiverne kan kigge i, mens de lytter. </w:t>
            </w:r>
          </w:p>
          <w:p w14:paraId="180F670C" w14:textId="77777777" w:rsidR="00013F19" w:rsidRPr="00AB7AA7" w:rsidRDefault="00013F19" w:rsidP="00CE0653">
            <w:pPr>
              <w:rPr>
                <w:color w:val="385623"/>
              </w:rPr>
            </w:pPr>
          </w:p>
          <w:p w14:paraId="21F1086F" w14:textId="77777777" w:rsidR="00013F19" w:rsidRPr="00AB7AA7" w:rsidRDefault="00013F19" w:rsidP="00CE0653">
            <w:pPr>
              <w:rPr>
                <w:color w:val="385623"/>
              </w:rPr>
            </w:pPr>
            <w:r w:rsidRPr="00AB7AA7">
              <w:rPr>
                <w:color w:val="385623"/>
              </w:rPr>
              <w:t>Forklar, at I nu skal lave en lytteøvelse, som skal skærpe opmærksomheden på, hvad man kan lytte efter og gribe til i samtalen for at etablere og vedligeholde den gode relation.</w:t>
            </w:r>
          </w:p>
          <w:p w14:paraId="36DD5255" w14:textId="77777777" w:rsidR="00013F19" w:rsidRPr="00AB7AA7" w:rsidRDefault="00013F19" w:rsidP="00CE0653">
            <w:pPr>
              <w:rPr>
                <w:color w:val="385623"/>
              </w:rPr>
            </w:pPr>
          </w:p>
        </w:tc>
        <w:tc>
          <w:tcPr>
            <w:tcW w:w="3265" w:type="dxa"/>
          </w:tcPr>
          <w:p w14:paraId="63AC4FB5" w14:textId="60EB002C" w:rsidR="00013F19" w:rsidRPr="00AB7AA7" w:rsidRDefault="00013F19" w:rsidP="00CE0653">
            <w:pPr>
              <w:rPr>
                <w:color w:val="385623"/>
              </w:rPr>
            </w:pPr>
            <w:r w:rsidRPr="00AB7AA7">
              <w:rPr>
                <w:color w:val="385623"/>
              </w:rPr>
              <w:t xml:space="preserve">Klargør </w:t>
            </w:r>
            <w:r w:rsidR="00962F6C">
              <w:rPr>
                <w:color w:val="385623"/>
              </w:rPr>
              <w:t>fremviser</w:t>
            </w:r>
            <w:r w:rsidRPr="00AB7AA7">
              <w:rPr>
                <w:color w:val="385623"/>
              </w:rPr>
              <w:t xml:space="preserve">, så du kan vise </w:t>
            </w:r>
            <w:r w:rsidR="00962F6C">
              <w:rPr>
                <w:color w:val="385623"/>
              </w:rPr>
              <w:t>PowerPoint-</w:t>
            </w:r>
            <w:r w:rsidRPr="00AB7AA7">
              <w:rPr>
                <w:color w:val="385623"/>
              </w:rPr>
              <w:t>slides om de tre redskaber.</w:t>
            </w:r>
          </w:p>
          <w:p w14:paraId="647AC1DF" w14:textId="77777777" w:rsidR="00013F19" w:rsidRPr="00AB7AA7" w:rsidRDefault="00013F19" w:rsidP="00CE0653">
            <w:pPr>
              <w:rPr>
                <w:color w:val="385623"/>
              </w:rPr>
            </w:pPr>
          </w:p>
          <w:p w14:paraId="546C7029" w14:textId="77777777" w:rsidR="00013F19" w:rsidRPr="00AB7AA7" w:rsidRDefault="00013F19" w:rsidP="00CE0653">
            <w:pPr>
              <w:rPr>
                <w:color w:val="385623"/>
              </w:rPr>
            </w:pPr>
            <w:r w:rsidRPr="00AB7AA7">
              <w:rPr>
                <w:color w:val="385623"/>
              </w:rPr>
              <w:t>Print handout til alle rådgivere.</w:t>
            </w:r>
          </w:p>
        </w:tc>
      </w:tr>
      <w:tr w:rsidR="00013F19" w:rsidRPr="00AB7AA7" w14:paraId="28697412" w14:textId="77777777" w:rsidTr="00CE0653">
        <w:tc>
          <w:tcPr>
            <w:tcW w:w="986" w:type="dxa"/>
          </w:tcPr>
          <w:p w14:paraId="2D5A5428" w14:textId="77777777" w:rsidR="00013F19" w:rsidRPr="00AB7AA7" w:rsidRDefault="00013F19" w:rsidP="00CE0653">
            <w:pPr>
              <w:rPr>
                <w:color w:val="385623"/>
              </w:rPr>
            </w:pPr>
          </w:p>
        </w:tc>
        <w:tc>
          <w:tcPr>
            <w:tcW w:w="1334" w:type="dxa"/>
          </w:tcPr>
          <w:p w14:paraId="7D5B4B95" w14:textId="77777777" w:rsidR="00013F19" w:rsidRPr="00AB7AA7" w:rsidRDefault="00013F19" w:rsidP="00CE0653">
            <w:pPr>
              <w:rPr>
                <w:color w:val="385623"/>
              </w:rPr>
            </w:pPr>
            <w:r w:rsidRPr="00AB7AA7">
              <w:rPr>
                <w:color w:val="385623"/>
              </w:rPr>
              <w:t>10 min.</w:t>
            </w:r>
          </w:p>
        </w:tc>
        <w:tc>
          <w:tcPr>
            <w:tcW w:w="7841" w:type="dxa"/>
          </w:tcPr>
          <w:p w14:paraId="326F9727" w14:textId="77777777" w:rsidR="00013F19" w:rsidRPr="00AB7AA7" w:rsidRDefault="00013F19" w:rsidP="00CE0653">
            <w:pPr>
              <w:rPr>
                <w:b/>
                <w:bCs/>
                <w:color w:val="385623"/>
              </w:rPr>
            </w:pPr>
            <w:r w:rsidRPr="00AB7AA7">
              <w:rPr>
                <w:b/>
                <w:bCs/>
                <w:color w:val="385623"/>
              </w:rPr>
              <w:t>Lytteøvelse i plenum:</w:t>
            </w:r>
          </w:p>
          <w:p w14:paraId="7E068F1A" w14:textId="1946D84F" w:rsidR="00013F19" w:rsidRPr="00AB7AA7" w:rsidRDefault="00013F19" w:rsidP="00CE0653">
            <w:pPr>
              <w:rPr>
                <w:color w:val="385623"/>
              </w:rPr>
            </w:pPr>
            <w:r w:rsidRPr="00AB7AA7">
              <w:rPr>
                <w:color w:val="385623"/>
              </w:rPr>
              <w:t>Del rådgiverne op i tre</w:t>
            </w:r>
            <w:r w:rsidR="00282AE7">
              <w:rPr>
                <w:color w:val="385623"/>
              </w:rPr>
              <w:t xml:space="preserve"> </w:t>
            </w:r>
            <w:r w:rsidRPr="00AB7AA7">
              <w:rPr>
                <w:color w:val="385623"/>
              </w:rPr>
              <w:t>grupper. Grupperne skal lytte efter hver sit ”redskab” i lydfilen:</w:t>
            </w:r>
          </w:p>
          <w:p w14:paraId="5CACD3C7" w14:textId="26F69428" w:rsidR="00013F19" w:rsidRPr="00AB7AA7" w:rsidRDefault="00013F19" w:rsidP="00013F19">
            <w:pPr>
              <w:pStyle w:val="Listeafsnit"/>
              <w:numPr>
                <w:ilvl w:val="0"/>
                <w:numId w:val="2"/>
              </w:numPr>
              <w:rPr>
                <w:color w:val="385623"/>
              </w:rPr>
            </w:pPr>
            <w:r w:rsidRPr="00AB7AA7">
              <w:rPr>
                <w:color w:val="385623"/>
              </w:rPr>
              <w:t>Gruppe 1 skal lytte efter hvilke domæner</w:t>
            </w:r>
            <w:r w:rsidR="00EF3F3F">
              <w:rPr>
                <w:color w:val="385623"/>
              </w:rPr>
              <w:t>,</w:t>
            </w:r>
            <w:r w:rsidRPr="00AB7AA7">
              <w:rPr>
                <w:color w:val="385623"/>
              </w:rPr>
              <w:t xml:space="preserve"> </w:t>
            </w:r>
            <w:r w:rsidR="00686504">
              <w:rPr>
                <w:color w:val="385623"/>
              </w:rPr>
              <w:t xml:space="preserve">der </w:t>
            </w:r>
            <w:r w:rsidRPr="00AB7AA7">
              <w:rPr>
                <w:color w:val="385623"/>
              </w:rPr>
              <w:t xml:space="preserve">tales </w:t>
            </w:r>
            <w:r w:rsidR="00686504">
              <w:rPr>
                <w:color w:val="385623"/>
              </w:rPr>
              <w:t xml:space="preserve">ud </w:t>
            </w:r>
            <w:r w:rsidRPr="00AB7AA7">
              <w:rPr>
                <w:color w:val="385623"/>
              </w:rPr>
              <w:t xml:space="preserve">fra og hvornår. </w:t>
            </w:r>
          </w:p>
          <w:p w14:paraId="6D455288" w14:textId="4B7A3ED7" w:rsidR="00013F19" w:rsidRPr="00AB7AA7" w:rsidRDefault="00013F19" w:rsidP="00013F19">
            <w:pPr>
              <w:pStyle w:val="Listeafsnit"/>
              <w:numPr>
                <w:ilvl w:val="0"/>
                <w:numId w:val="2"/>
              </w:numPr>
              <w:rPr>
                <w:color w:val="385623"/>
              </w:rPr>
            </w:pPr>
            <w:r w:rsidRPr="00AB7AA7">
              <w:rPr>
                <w:color w:val="385623"/>
              </w:rPr>
              <w:t>Gruppe 2 skal lytte efter hvordan eller hvorvidt</w:t>
            </w:r>
            <w:r w:rsidR="00EF3F3F">
              <w:rPr>
                <w:color w:val="385623"/>
              </w:rPr>
              <w:t>,</w:t>
            </w:r>
            <w:r w:rsidRPr="00AB7AA7">
              <w:rPr>
                <w:color w:val="385623"/>
              </w:rPr>
              <w:t xml:space="preserve"> rådgiveren i casen bruger metakommunikation. </w:t>
            </w:r>
          </w:p>
          <w:p w14:paraId="177C1210" w14:textId="3E39BAAF" w:rsidR="00013F19" w:rsidRPr="00AB7AA7" w:rsidRDefault="00013F19" w:rsidP="00013F19">
            <w:pPr>
              <w:pStyle w:val="Listeafsnit"/>
              <w:numPr>
                <w:ilvl w:val="0"/>
                <w:numId w:val="2"/>
              </w:numPr>
              <w:rPr>
                <w:color w:val="385623"/>
              </w:rPr>
            </w:pPr>
            <w:r w:rsidRPr="00AB7AA7">
              <w:rPr>
                <w:color w:val="385623"/>
              </w:rPr>
              <w:t>Gruppe 3 skal lytte efter hvordan og hvorvidt</w:t>
            </w:r>
            <w:r w:rsidR="00FD3675">
              <w:rPr>
                <w:color w:val="385623"/>
              </w:rPr>
              <w:t>,</w:t>
            </w:r>
            <w:r w:rsidRPr="00AB7AA7">
              <w:rPr>
                <w:color w:val="385623"/>
              </w:rPr>
              <w:t xml:space="preserve"> rådgiveren gør brug af aktiv lytning.</w:t>
            </w:r>
          </w:p>
          <w:p w14:paraId="0DCD9D99" w14:textId="77777777" w:rsidR="00013F19" w:rsidRPr="00AB7AA7" w:rsidRDefault="00013F19" w:rsidP="00CE0653">
            <w:pPr>
              <w:rPr>
                <w:color w:val="385623"/>
              </w:rPr>
            </w:pPr>
          </w:p>
          <w:p w14:paraId="2423A963" w14:textId="436292FE" w:rsidR="00013F19" w:rsidRPr="00AB7AA7" w:rsidRDefault="00013F19" w:rsidP="00CE0653">
            <w:pPr>
              <w:rPr>
                <w:color w:val="385623"/>
              </w:rPr>
            </w:pPr>
            <w:r w:rsidRPr="00AB7AA7">
              <w:rPr>
                <w:color w:val="385623"/>
              </w:rPr>
              <w:t>Afspil nu lydfilen: Rådgivningssamtale med unge kvinde.</w:t>
            </w:r>
            <w:r w:rsidR="00EF3F3F">
              <w:rPr>
                <w:color w:val="385623"/>
              </w:rPr>
              <w:t xml:space="preserve"> Lydfilen varer 6:35 min.</w:t>
            </w:r>
          </w:p>
          <w:p w14:paraId="0725F44A" w14:textId="77777777" w:rsidR="00013F19" w:rsidRPr="00AB7AA7" w:rsidRDefault="00013F19" w:rsidP="00CE0653">
            <w:pPr>
              <w:rPr>
                <w:color w:val="385623"/>
              </w:rPr>
            </w:pPr>
          </w:p>
        </w:tc>
        <w:tc>
          <w:tcPr>
            <w:tcW w:w="3265" w:type="dxa"/>
          </w:tcPr>
          <w:p w14:paraId="56196CA2" w14:textId="77777777" w:rsidR="00013F19" w:rsidRPr="00AB7AA7" w:rsidRDefault="00013F19" w:rsidP="00CE0653">
            <w:pPr>
              <w:rPr>
                <w:color w:val="385623"/>
              </w:rPr>
            </w:pPr>
            <w:r w:rsidRPr="00AB7AA7">
              <w:rPr>
                <w:color w:val="385623"/>
              </w:rPr>
              <w:t>Sørg for udstyr til at afspille lyd fra nettet.</w:t>
            </w:r>
          </w:p>
        </w:tc>
      </w:tr>
      <w:tr w:rsidR="00013F19" w:rsidRPr="00AB7AA7" w14:paraId="616AFE4D" w14:textId="77777777" w:rsidTr="00CE0653">
        <w:tc>
          <w:tcPr>
            <w:tcW w:w="986" w:type="dxa"/>
          </w:tcPr>
          <w:p w14:paraId="70969B9F" w14:textId="77777777" w:rsidR="00013F19" w:rsidRPr="00AB7AA7" w:rsidRDefault="00013F19" w:rsidP="00CE0653">
            <w:pPr>
              <w:rPr>
                <w:color w:val="385623"/>
              </w:rPr>
            </w:pPr>
          </w:p>
        </w:tc>
        <w:tc>
          <w:tcPr>
            <w:tcW w:w="1334" w:type="dxa"/>
          </w:tcPr>
          <w:p w14:paraId="5CDD0EBB" w14:textId="1B52E2FE" w:rsidR="00013F19" w:rsidRPr="00AB7AA7" w:rsidRDefault="009F1C4B" w:rsidP="00CE0653">
            <w:pPr>
              <w:rPr>
                <w:color w:val="385623"/>
              </w:rPr>
            </w:pPr>
            <w:r>
              <w:rPr>
                <w:color w:val="385623"/>
              </w:rPr>
              <w:t>15</w:t>
            </w:r>
            <w:r w:rsidR="00013F19" w:rsidRPr="00AB7AA7">
              <w:rPr>
                <w:color w:val="385623"/>
              </w:rPr>
              <w:t xml:space="preserve"> min.</w:t>
            </w:r>
          </w:p>
        </w:tc>
        <w:tc>
          <w:tcPr>
            <w:tcW w:w="7841" w:type="dxa"/>
          </w:tcPr>
          <w:p w14:paraId="278B1266" w14:textId="77777777" w:rsidR="00013F19" w:rsidRPr="00AB7AA7" w:rsidRDefault="00013F19" w:rsidP="00CE0653">
            <w:pPr>
              <w:rPr>
                <w:b/>
                <w:bCs/>
                <w:color w:val="385623"/>
              </w:rPr>
            </w:pPr>
            <w:r w:rsidRPr="00AB7AA7">
              <w:rPr>
                <w:b/>
                <w:bCs/>
                <w:color w:val="385623"/>
              </w:rPr>
              <w:t>Drøftelse i plenum:</w:t>
            </w:r>
          </w:p>
          <w:p w14:paraId="1D4D8D34" w14:textId="27D35098" w:rsidR="00013F19" w:rsidRPr="00AB7AA7" w:rsidRDefault="00013F19" w:rsidP="00CE0653">
            <w:pPr>
              <w:rPr>
                <w:color w:val="385623"/>
              </w:rPr>
            </w:pPr>
            <w:r w:rsidRPr="00AB7AA7">
              <w:rPr>
                <w:color w:val="385623"/>
              </w:rPr>
              <w:t xml:space="preserve">Spørg rådgiverne, hvad de observerede i samtalen. Start med, hvorvidt de hørte nogle forskellige domæner, som var på spil? Og tal derefter om hvorvidt og hvordan, der blev brugt metakommunikation og aktiv lytning. </w:t>
            </w:r>
          </w:p>
          <w:p w14:paraId="432EB591" w14:textId="77777777" w:rsidR="00013F19" w:rsidRPr="00AB7AA7" w:rsidRDefault="00013F19" w:rsidP="00CE0653">
            <w:pPr>
              <w:rPr>
                <w:color w:val="385623"/>
              </w:rPr>
            </w:pPr>
          </w:p>
        </w:tc>
        <w:tc>
          <w:tcPr>
            <w:tcW w:w="3265" w:type="dxa"/>
          </w:tcPr>
          <w:p w14:paraId="71F865EC" w14:textId="77777777" w:rsidR="00013F19" w:rsidRPr="00AB7AA7" w:rsidRDefault="00013F19" w:rsidP="00CE0653">
            <w:pPr>
              <w:rPr>
                <w:color w:val="385623"/>
              </w:rPr>
            </w:pPr>
          </w:p>
        </w:tc>
      </w:tr>
      <w:tr w:rsidR="00013F19" w:rsidRPr="00AB7AA7" w14:paraId="3043BA9E" w14:textId="77777777" w:rsidTr="00CE0653">
        <w:tc>
          <w:tcPr>
            <w:tcW w:w="986" w:type="dxa"/>
          </w:tcPr>
          <w:p w14:paraId="60AABBA5" w14:textId="77777777" w:rsidR="00013F19" w:rsidRPr="00AB7AA7" w:rsidRDefault="00013F19" w:rsidP="00CE0653">
            <w:pPr>
              <w:rPr>
                <w:color w:val="385623"/>
              </w:rPr>
            </w:pPr>
          </w:p>
        </w:tc>
        <w:tc>
          <w:tcPr>
            <w:tcW w:w="1334" w:type="dxa"/>
          </w:tcPr>
          <w:p w14:paraId="10ED8375" w14:textId="77777777" w:rsidR="00013F19" w:rsidRPr="00AB7AA7" w:rsidRDefault="00013F19" w:rsidP="00CE0653">
            <w:pPr>
              <w:rPr>
                <w:color w:val="385623"/>
              </w:rPr>
            </w:pPr>
            <w:r w:rsidRPr="00AB7AA7">
              <w:rPr>
                <w:color w:val="385623"/>
              </w:rPr>
              <w:t>20 min.</w:t>
            </w:r>
          </w:p>
        </w:tc>
        <w:tc>
          <w:tcPr>
            <w:tcW w:w="7841" w:type="dxa"/>
          </w:tcPr>
          <w:p w14:paraId="02D8E32B" w14:textId="77777777" w:rsidR="00013F19" w:rsidRPr="00AB7AA7" w:rsidRDefault="00013F19" w:rsidP="00CE0653">
            <w:pPr>
              <w:rPr>
                <w:b/>
                <w:bCs/>
                <w:color w:val="385623"/>
              </w:rPr>
            </w:pPr>
            <w:r w:rsidRPr="00AB7AA7">
              <w:rPr>
                <w:b/>
                <w:bCs/>
                <w:color w:val="385623"/>
              </w:rPr>
              <w:t>Deling af erfaringer to og to – anden runde:</w:t>
            </w:r>
          </w:p>
          <w:p w14:paraId="558F9CEC" w14:textId="56A7E3C9" w:rsidR="00013F19" w:rsidRPr="00AB7AA7" w:rsidRDefault="00013F19" w:rsidP="00CE0653">
            <w:pPr>
              <w:rPr>
                <w:color w:val="385623"/>
              </w:rPr>
            </w:pPr>
            <w:r w:rsidRPr="00AB7AA7">
              <w:rPr>
                <w:color w:val="385623"/>
              </w:rPr>
              <w:t>Bed nu rådgiverne vende sig mod deres samtalepartner fra før og tale om, hvorvidt en opmærksomhed på domæneteorien, metakommunikation eller aktiv lytning kunne have været en hjælp i deres svære samtale – og i givet fald hvordan.</w:t>
            </w:r>
          </w:p>
          <w:p w14:paraId="0183DB56" w14:textId="77777777" w:rsidR="00013F19" w:rsidRPr="00AB7AA7" w:rsidRDefault="00013F19" w:rsidP="00CE0653">
            <w:pPr>
              <w:rPr>
                <w:b/>
                <w:bCs/>
                <w:color w:val="385623"/>
              </w:rPr>
            </w:pPr>
          </w:p>
        </w:tc>
        <w:tc>
          <w:tcPr>
            <w:tcW w:w="3265" w:type="dxa"/>
          </w:tcPr>
          <w:p w14:paraId="3A82354E" w14:textId="77777777" w:rsidR="00013F19" w:rsidRPr="00AB7AA7" w:rsidRDefault="00013F19" w:rsidP="00CE0653">
            <w:pPr>
              <w:rPr>
                <w:color w:val="385623"/>
              </w:rPr>
            </w:pPr>
          </w:p>
        </w:tc>
      </w:tr>
      <w:tr w:rsidR="00013F19" w:rsidRPr="00AB7AA7" w14:paraId="661B8A30" w14:textId="77777777" w:rsidTr="00CE0653">
        <w:tc>
          <w:tcPr>
            <w:tcW w:w="986" w:type="dxa"/>
          </w:tcPr>
          <w:p w14:paraId="315B1711" w14:textId="77777777" w:rsidR="00013F19" w:rsidRPr="00AB7AA7" w:rsidRDefault="00013F19" w:rsidP="00CE0653">
            <w:pPr>
              <w:rPr>
                <w:color w:val="385623"/>
              </w:rPr>
            </w:pPr>
          </w:p>
        </w:tc>
        <w:tc>
          <w:tcPr>
            <w:tcW w:w="1334" w:type="dxa"/>
          </w:tcPr>
          <w:p w14:paraId="0E90AE96" w14:textId="77777777" w:rsidR="00013F19" w:rsidRPr="00AB7AA7" w:rsidRDefault="00013F19" w:rsidP="00CE0653">
            <w:pPr>
              <w:rPr>
                <w:color w:val="385623"/>
              </w:rPr>
            </w:pPr>
            <w:r w:rsidRPr="00AB7AA7">
              <w:rPr>
                <w:color w:val="385623"/>
              </w:rPr>
              <w:t>15 min.</w:t>
            </w:r>
          </w:p>
        </w:tc>
        <w:tc>
          <w:tcPr>
            <w:tcW w:w="7841" w:type="dxa"/>
          </w:tcPr>
          <w:p w14:paraId="5F8667F0" w14:textId="7B1E8915" w:rsidR="00013F19" w:rsidRPr="00AB7AA7" w:rsidRDefault="00013F19" w:rsidP="00CE0653">
            <w:pPr>
              <w:rPr>
                <w:color w:val="385623"/>
              </w:rPr>
            </w:pPr>
            <w:r w:rsidRPr="00AB7AA7">
              <w:rPr>
                <w:b/>
                <w:bCs/>
                <w:color w:val="385623"/>
              </w:rPr>
              <w:t xml:space="preserve">Opsamling i plenum: </w:t>
            </w:r>
            <w:r w:rsidRPr="00AB7AA7">
              <w:rPr>
                <w:b/>
                <w:bCs/>
                <w:color w:val="385623"/>
              </w:rPr>
              <w:br/>
            </w:r>
            <w:r w:rsidRPr="00AB7AA7">
              <w:rPr>
                <w:color w:val="385623"/>
              </w:rPr>
              <w:t xml:space="preserve">Bed rådgiverne dele de vigtigste pointer, erkendelser eller nye idéer, som de tager med sig efter oplægget og gruppedrøftelserne. </w:t>
            </w:r>
          </w:p>
          <w:p w14:paraId="424E4BE9" w14:textId="77777777" w:rsidR="00013F19" w:rsidRPr="00AB7AA7" w:rsidRDefault="00013F19" w:rsidP="00CE0653">
            <w:pPr>
              <w:rPr>
                <w:b/>
                <w:bCs/>
                <w:color w:val="385623"/>
              </w:rPr>
            </w:pPr>
          </w:p>
        </w:tc>
        <w:tc>
          <w:tcPr>
            <w:tcW w:w="3265" w:type="dxa"/>
          </w:tcPr>
          <w:p w14:paraId="50C30ECC" w14:textId="77777777" w:rsidR="00013F19" w:rsidRPr="00AB7AA7" w:rsidRDefault="00013F19" w:rsidP="00CE0653">
            <w:pPr>
              <w:rPr>
                <w:color w:val="385623"/>
              </w:rPr>
            </w:pPr>
          </w:p>
        </w:tc>
      </w:tr>
    </w:tbl>
    <w:p w14:paraId="158EF4AA" w14:textId="77777777" w:rsidR="00CB5259" w:rsidRDefault="00CB5259"/>
    <w:sectPr w:rsidR="00CB5259" w:rsidSect="00013F19">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WalsheimProBold">
    <w:panose1 w:val="02000503040000020003"/>
    <w:charset w:val="00"/>
    <w:family w:val="auto"/>
    <w:pitch w:val="variable"/>
    <w:sig w:usb0="A00002AF" w:usb1="5000206B" w:usb2="00000000" w:usb3="00000000" w:csb0="00000097" w:csb1="00000000"/>
  </w:font>
  <w:font w:name="WindleshamPro">
    <w:panose1 w:val="02000503000000020003"/>
    <w:charset w:val="00"/>
    <w:family w:val="auto"/>
    <w:pitch w:val="variable"/>
    <w:sig w:usb0="00000007" w:usb1="1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911"/>
    <w:multiLevelType w:val="hybridMultilevel"/>
    <w:tmpl w:val="1CE85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4B7405"/>
    <w:multiLevelType w:val="hybridMultilevel"/>
    <w:tmpl w:val="6958D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34200043">
    <w:abstractNumId w:val="0"/>
  </w:num>
  <w:num w:numId="2" w16cid:durableId="1011836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19"/>
    <w:rsid w:val="00013F19"/>
    <w:rsid w:val="000F571E"/>
    <w:rsid w:val="00240DD1"/>
    <w:rsid w:val="00282AE7"/>
    <w:rsid w:val="00554116"/>
    <w:rsid w:val="00644304"/>
    <w:rsid w:val="00686504"/>
    <w:rsid w:val="006907AF"/>
    <w:rsid w:val="00700050"/>
    <w:rsid w:val="00744D64"/>
    <w:rsid w:val="0085085F"/>
    <w:rsid w:val="008B02D3"/>
    <w:rsid w:val="008C0827"/>
    <w:rsid w:val="00962F6C"/>
    <w:rsid w:val="009A7C27"/>
    <w:rsid w:val="009F1C4B"/>
    <w:rsid w:val="00A216F0"/>
    <w:rsid w:val="00A333B3"/>
    <w:rsid w:val="00B81FE8"/>
    <w:rsid w:val="00CA7DAD"/>
    <w:rsid w:val="00CB5259"/>
    <w:rsid w:val="00EE39BF"/>
    <w:rsid w:val="00EF3F3F"/>
    <w:rsid w:val="00F62405"/>
    <w:rsid w:val="00FD3675"/>
    <w:rsid w:val="00FD45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C6D1"/>
  <w15:chartTrackingRefBased/>
  <w15:docId w15:val="{1A862023-0FB8-4104-BFBD-88E23678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19"/>
  </w:style>
  <w:style w:type="paragraph" w:styleId="Overskrift2">
    <w:name w:val="heading 2"/>
    <w:basedOn w:val="Normal"/>
    <w:next w:val="Normal"/>
    <w:link w:val="Overskrift2Tegn"/>
    <w:uiPriority w:val="9"/>
    <w:unhideWhenUsed/>
    <w:qFormat/>
    <w:rsid w:val="00013F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1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13F19"/>
    <w:pPr>
      <w:ind w:left="720"/>
      <w:contextualSpacing/>
    </w:pPr>
  </w:style>
  <w:style w:type="character" w:customStyle="1" w:styleId="Overskrift2Tegn">
    <w:name w:val="Overskrift 2 Tegn"/>
    <w:basedOn w:val="Standardskrifttypeiafsnit"/>
    <w:link w:val="Overskrift2"/>
    <w:uiPriority w:val="9"/>
    <w:rsid w:val="00013F19"/>
    <w:rPr>
      <w:rFonts w:asciiTheme="majorHAnsi" w:eastAsiaTheme="majorEastAsia" w:hAnsiTheme="majorHAnsi" w:cstheme="majorBidi"/>
      <w:color w:val="2F5496" w:themeColor="accent1" w:themeShade="BF"/>
      <w:sz w:val="26"/>
      <w:szCs w:val="26"/>
    </w:rPr>
  </w:style>
  <w:style w:type="character" w:styleId="Strk">
    <w:name w:val="Strong"/>
    <w:basedOn w:val="Standardskrifttypeiafsnit"/>
    <w:uiPriority w:val="22"/>
    <w:qFormat/>
    <w:rsid w:val="009A7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6071DBE51EB74D8BF531654CB1BB8A" ma:contentTypeVersion="16" ma:contentTypeDescription="Opret et nyt dokument." ma:contentTypeScope="" ma:versionID="035a1e5a0127ec5a953fcf96f331dddb">
  <xsd:schema xmlns:xsd="http://www.w3.org/2001/XMLSchema" xmlns:xs="http://www.w3.org/2001/XMLSchema" xmlns:p="http://schemas.microsoft.com/office/2006/metadata/properties" xmlns:ns2="6a19b182-87f6-4d2a-9ce3-1c7f0df7a088" xmlns:ns3="f196368a-2e87-4b5d-b139-8e170ec078d7" targetNamespace="http://schemas.microsoft.com/office/2006/metadata/properties" ma:root="true" ma:fieldsID="9faff529d4504c306e1a1c7ebbab68f9" ns2:_="" ns3:_="">
    <xsd:import namespace="6a19b182-87f6-4d2a-9ce3-1c7f0df7a088"/>
    <xsd:import namespace="f196368a-2e87-4b5d-b139-8e170ec07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b182-87f6-4d2a-9ce3-1c7f0df7a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ea742b-a6d4-4aa1-bdc7-70d1d21281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368a-2e87-4b5d-b139-8e170ec078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c7fb43b-7df2-4a5b-ba18-888e0fc662d9}" ma:internalName="TaxCatchAll" ma:showField="CatchAllData" ma:web="f196368a-2e87-4b5d-b139-8e170ec07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9b182-87f6-4d2a-9ce3-1c7f0df7a088">
      <Terms xmlns="http://schemas.microsoft.com/office/infopath/2007/PartnerControls"/>
    </lcf76f155ced4ddcb4097134ff3c332f>
    <TaxCatchAll xmlns="f196368a-2e87-4b5d-b139-8e170ec078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A476A-FFA8-4E99-8809-22ADF055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b182-87f6-4d2a-9ce3-1c7f0df7a088"/>
    <ds:schemaRef ds:uri="f196368a-2e87-4b5d-b139-8e170ec0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2D7AC-FA2B-4595-8EFA-795EC8C1B413}">
  <ds:schemaRefs>
    <ds:schemaRef ds:uri="http://schemas.microsoft.com/office/2006/metadata/properties"/>
    <ds:schemaRef ds:uri="http://schemas.microsoft.com/office/infopath/2007/PartnerControls"/>
    <ds:schemaRef ds:uri="6a19b182-87f6-4d2a-9ce3-1c7f0df7a088"/>
    <ds:schemaRef ds:uri="f196368a-2e87-4b5d-b139-8e170ec078d7"/>
  </ds:schemaRefs>
</ds:datastoreItem>
</file>

<file path=customXml/itemProps3.xml><?xml version="1.0" encoding="utf-8"?>
<ds:datastoreItem xmlns:ds="http://schemas.openxmlformats.org/officeDocument/2006/customXml" ds:itemID="{2EE889B5-EC16-4912-AD27-AC2100190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483</Words>
  <Characters>2952</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Lyndby Christensen</dc:creator>
  <cp:keywords/>
  <dc:description/>
  <cp:lastModifiedBy>Ulla Lyndby Christensen</cp:lastModifiedBy>
  <cp:revision>26</cp:revision>
  <dcterms:created xsi:type="dcterms:W3CDTF">2022-10-03T13:16:00Z</dcterms:created>
  <dcterms:modified xsi:type="dcterms:W3CDTF">2022-11-07T12:20:00Z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0x010100C26071DBE51EB74D8BF531654CB1BB8A</vt:lpwstr>
  </property>
  <property fmtid="{D5CDD505-2E9C-101B-9397-08002B2CF9AE}" pid="3" name="MediaServiceImageTags">
    <vt:lpwstr/>
  </property>
</Properties>
</file>